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7F2A4A94" w:rsidR="00963D69" w:rsidRPr="003C2452" w:rsidRDefault="00761D9F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Banskobystrický geomontánny park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57349A5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19748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761D9F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195639F5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761D9F">
        <w:rPr>
          <w:rFonts w:ascii="Arial" w:eastAsia="Times New Roman" w:hAnsi="Arial" w:cs="Arial"/>
          <w:sz w:val="28"/>
          <w:szCs w:val="20"/>
        </w:rPr>
        <w:t>T472-51</w:t>
      </w:r>
      <w:r w:rsidR="00820885">
        <w:rPr>
          <w:rFonts w:ascii="Arial" w:eastAsia="Times New Roman" w:hAnsi="Arial" w:cs="Arial"/>
          <w:sz w:val="28"/>
          <w:szCs w:val="20"/>
        </w:rPr>
        <w:t>1-006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6D9EB7FC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A42F19">
        <w:rPr>
          <w:rFonts w:ascii="Arial" w:eastAsia="Times New Roman" w:hAnsi="Arial" w:cs="Arial"/>
          <w:sz w:val="22"/>
        </w:rPr>
        <w:t>28.04.2023</w:t>
      </w:r>
      <w:r w:rsidR="00BE7262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ab/>
      </w:r>
    </w:p>
    <w:p w14:paraId="227FB5D8" w14:textId="31A2F941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BE7262">
        <w:rPr>
          <w:rFonts w:ascii="Arial" w:eastAsia="Times New Roman" w:hAnsi="Arial" w:cs="Arial"/>
          <w:sz w:val="22"/>
        </w:rPr>
        <w:t xml:space="preserve"> </w:t>
      </w:r>
      <w:r w:rsidR="00FB42C4">
        <w:rPr>
          <w:rFonts w:ascii="Arial" w:eastAsia="Times New Roman" w:hAnsi="Arial" w:cs="Arial"/>
          <w:sz w:val="22"/>
        </w:rPr>
        <w:t>09</w:t>
      </w:r>
      <w:r w:rsidR="00A42F19">
        <w:rPr>
          <w:rFonts w:ascii="Arial" w:eastAsia="Times New Roman" w:hAnsi="Arial" w:cs="Arial"/>
          <w:sz w:val="22"/>
        </w:rPr>
        <w:t>.05.2023</w:t>
      </w:r>
      <w:r w:rsidR="00BE7262">
        <w:rPr>
          <w:rFonts w:ascii="Arial" w:eastAsia="Times New Roman" w:hAnsi="Arial" w:cs="Arial"/>
          <w:sz w:val="22"/>
        </w:rPr>
        <w:t>.</w:t>
      </w:r>
      <w:r>
        <w:rPr>
          <w:rFonts w:ascii="Arial" w:eastAsia="Times New Roman" w:hAnsi="Arial" w:cs="Arial"/>
          <w:sz w:val="22"/>
        </w:rPr>
        <w:tab/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494E3224" w14:textId="517CD66C" w:rsidR="00963D69" w:rsidRPr="00E86FBE" w:rsidRDefault="005721EC" w:rsidP="001B5A5B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61D9F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7FAC4354" w14:textId="77777777" w:rsidR="00F832C3" w:rsidRDefault="006B1F78" w:rsidP="00F832C3">
      <w:pPr>
        <w:rPr>
          <w:rFonts w:ascii="Arial" w:eastAsia="Times New Roman" w:hAnsi="Arial" w:cs="Arial"/>
          <w:b/>
          <w:bCs/>
          <w:sz w:val="22"/>
        </w:rPr>
      </w:pPr>
      <w:r w:rsidRPr="0012754F">
        <w:rPr>
          <w:rFonts w:ascii="Arial" w:eastAsia="Times New Roman" w:hAnsi="Arial" w:cs="Arial"/>
          <w:b/>
          <w:bCs/>
          <w:sz w:val="22"/>
        </w:rPr>
        <w:t>Výzva na predkladanie žiadostí o</w:t>
      </w:r>
      <w:r w:rsidR="0012754F">
        <w:rPr>
          <w:rFonts w:ascii="Arial" w:eastAsia="Times New Roman" w:hAnsi="Arial" w:cs="Arial"/>
          <w:b/>
          <w:bCs/>
          <w:sz w:val="22"/>
        </w:rPr>
        <w:t> </w:t>
      </w:r>
      <w:r w:rsidRPr="0012754F">
        <w:rPr>
          <w:rFonts w:ascii="Arial" w:eastAsia="Times New Roman" w:hAnsi="Arial" w:cs="Arial"/>
          <w:b/>
          <w:bCs/>
          <w:sz w:val="22"/>
        </w:rPr>
        <w:t>p</w:t>
      </w:r>
      <w:r w:rsidR="0012754F">
        <w:rPr>
          <w:rFonts w:ascii="Arial" w:eastAsia="Times New Roman" w:hAnsi="Arial" w:cs="Arial"/>
          <w:b/>
          <w:bCs/>
          <w:sz w:val="22"/>
        </w:rPr>
        <w:t>oskytnutie príspevku</w:t>
      </w:r>
    </w:p>
    <w:p w14:paraId="39DA6451" w14:textId="39D6EA6E" w:rsidR="00A42F19" w:rsidRPr="00AE0CAD" w:rsidRDefault="00A42F19" w:rsidP="00F832C3">
      <w:pPr>
        <w:rPr>
          <w:rFonts w:ascii="Arial" w:eastAsia="Times New Roman" w:hAnsi="Arial" w:cs="Arial"/>
          <w:b/>
          <w:bCs/>
          <w:sz w:val="22"/>
        </w:rPr>
      </w:pPr>
      <w:r>
        <w:rPr>
          <w:rStyle w:val="cf01"/>
          <w:rFonts w:ascii="Arial" w:hAnsi="Arial" w:cs="Arial"/>
          <w:sz w:val="22"/>
          <w:szCs w:val="22"/>
        </w:rPr>
        <w:t>Aktualizáciou výzvy sa upravuje termín uzavretia aktuálne prebiehajúceho hodnotiaceho kola na 9.5.2023. Ďalšie hodnotiace kolá budú uzatvárané v intervale 1 mesiaca od predchádzajúceho hodnotiaceho kola a to vždy k </w:t>
      </w:r>
      <w:r w:rsidR="001242F3">
        <w:rPr>
          <w:rStyle w:val="cf01"/>
          <w:rFonts w:ascii="Arial" w:hAnsi="Arial" w:cs="Arial"/>
          <w:sz w:val="22"/>
          <w:szCs w:val="22"/>
        </w:rPr>
        <w:t>9</w:t>
      </w:r>
      <w:r>
        <w:rPr>
          <w:rStyle w:val="cf01"/>
          <w:rFonts w:ascii="Arial" w:hAnsi="Arial" w:cs="Arial"/>
          <w:sz w:val="22"/>
          <w:szCs w:val="22"/>
        </w:rPr>
        <w:t>. dňu príslušného mesiaca.</w:t>
      </w:r>
    </w:p>
    <w:p w14:paraId="44B0B6D9" w14:textId="695D8422" w:rsidR="0012754F" w:rsidRPr="0012754F" w:rsidRDefault="0012754F" w:rsidP="00F832C3">
      <w:pPr>
        <w:pStyle w:val="pf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Aktualizáciou výzvy sa upravujú formálne nedostatky a zrejmé nesprávnosti v zmysle aktualizácie IM CLLD verzia 1.9 a verzia 2.0</w:t>
      </w:r>
    </w:p>
    <w:p w14:paraId="5B8F1A0E" w14:textId="7F62625C" w:rsidR="006B1F78" w:rsidRDefault="006B1F78" w:rsidP="002D2A5E">
      <w:pPr>
        <w:pStyle w:val="Odsekzoznamu"/>
        <w:ind w:left="644"/>
        <w:jc w:val="both"/>
        <w:rPr>
          <w:rFonts w:ascii="Arial" w:eastAsia="Times New Roman" w:hAnsi="Arial" w:cs="Arial"/>
          <w:sz w:val="22"/>
        </w:rPr>
      </w:pPr>
      <w:r w:rsidRPr="0012754F">
        <w:rPr>
          <w:rFonts w:ascii="Arial" w:eastAsia="Times New Roman" w:hAnsi="Arial" w:cs="Arial"/>
          <w:b/>
          <w:bCs/>
          <w:sz w:val="22"/>
        </w:rPr>
        <w:t>Príloha č. 1 výzvy – Formulár ŽoPr</w:t>
      </w:r>
    </w:p>
    <w:p w14:paraId="7C6461F9" w14:textId="039E225C" w:rsidR="0012754F" w:rsidRDefault="0012754F" w:rsidP="0012754F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častiach 3, 4, 5, 6, 7, 9 a 10 v zmysle aktualizácie IM CLLD verzia 1.9</w:t>
      </w:r>
    </w:p>
    <w:p w14:paraId="6498CF67" w14:textId="0944BAA2" w:rsidR="0012754F" w:rsidRPr="00443653" w:rsidRDefault="0012754F" w:rsidP="0012754F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časti 4 </w:t>
      </w:r>
      <w:r w:rsidR="00306856">
        <w:rPr>
          <w:rFonts w:ascii="Arial" w:eastAsia="Times New Roman" w:hAnsi="Arial" w:cs="Arial"/>
          <w:sz w:val="22"/>
        </w:rPr>
        <w:t xml:space="preserve"> </w:t>
      </w:r>
      <w:r w:rsidRPr="00306856">
        <w:rPr>
          <w:rFonts w:ascii="Arial" w:eastAsia="Times New Roman" w:hAnsi="Arial" w:cs="Arial"/>
          <w:i/>
          <w:iCs/>
          <w:sz w:val="22"/>
        </w:rPr>
        <w:t>Harmonogram</w:t>
      </w:r>
      <w:r>
        <w:rPr>
          <w:rFonts w:ascii="Arial" w:eastAsia="Times New Roman" w:hAnsi="Arial" w:cs="Arial"/>
          <w:sz w:val="22"/>
        </w:rPr>
        <w:t xml:space="preserve"> </w:t>
      </w:r>
      <w:r w:rsidRPr="00306856">
        <w:rPr>
          <w:rFonts w:ascii="Arial" w:eastAsia="Times New Roman" w:hAnsi="Arial" w:cs="Arial"/>
          <w:i/>
          <w:iCs/>
          <w:sz w:val="22"/>
        </w:rPr>
        <w:t>realizácie</w:t>
      </w:r>
      <w:r>
        <w:rPr>
          <w:rFonts w:ascii="Arial" w:eastAsia="Times New Roman" w:hAnsi="Arial" w:cs="Arial"/>
          <w:sz w:val="22"/>
        </w:rPr>
        <w:t xml:space="preserve"> aktivít a v časti 10 </w:t>
      </w:r>
      <w:r w:rsidRPr="00306856">
        <w:rPr>
          <w:rFonts w:ascii="Arial" w:eastAsia="Times New Roman" w:hAnsi="Arial" w:cs="Arial"/>
          <w:i/>
          <w:iCs/>
          <w:sz w:val="22"/>
        </w:rPr>
        <w:t>Čestné vyhlásenie žiadateľa</w:t>
      </w:r>
      <w:r>
        <w:rPr>
          <w:rFonts w:ascii="Arial" w:eastAsia="Times New Roman" w:hAnsi="Arial" w:cs="Arial"/>
          <w:sz w:val="22"/>
        </w:rPr>
        <w:t xml:space="preserve"> v zmysle IM CLLD verzia 2.0</w:t>
      </w:r>
    </w:p>
    <w:p w14:paraId="032E1C41" w14:textId="10C42B36" w:rsidR="006B1F78" w:rsidRDefault="006B1F78" w:rsidP="002D2A5E">
      <w:pPr>
        <w:pStyle w:val="Odsekzoznamu"/>
        <w:ind w:left="644"/>
        <w:jc w:val="both"/>
        <w:rPr>
          <w:rFonts w:ascii="Arial" w:eastAsia="Times New Roman" w:hAnsi="Arial" w:cs="Arial"/>
          <w:b/>
          <w:bCs/>
          <w:sz w:val="22"/>
        </w:rPr>
      </w:pPr>
      <w:r w:rsidRPr="002D2A5E">
        <w:rPr>
          <w:rFonts w:ascii="Arial" w:eastAsia="Times New Roman" w:hAnsi="Arial" w:cs="Arial"/>
          <w:b/>
          <w:bCs/>
          <w:sz w:val="22"/>
        </w:rPr>
        <w:t>Príloha č. 2 výzvy - Špecifikácia rozsahu oprávnených aktivít a oprávnených výdavkov</w:t>
      </w:r>
    </w:p>
    <w:p w14:paraId="50BA8358" w14:textId="545D7601" w:rsidR="002D2A5E" w:rsidRDefault="002D2A5E" w:rsidP="002D2A5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časti </w:t>
      </w:r>
      <w:r w:rsidRPr="00306856">
        <w:rPr>
          <w:rFonts w:ascii="Arial" w:eastAsia="Times New Roman" w:hAnsi="Arial" w:cs="Arial"/>
          <w:i/>
          <w:iCs/>
          <w:sz w:val="22"/>
        </w:rPr>
        <w:t>Popis oprávnenej aktivity</w:t>
      </w:r>
      <w:r>
        <w:rPr>
          <w:rFonts w:ascii="Arial" w:eastAsia="Times New Roman" w:hAnsi="Arial" w:cs="Arial"/>
          <w:sz w:val="22"/>
        </w:rPr>
        <w:t xml:space="preserve"> v zmysle aktualizácie IM CLLD verzia 1.9</w:t>
      </w:r>
    </w:p>
    <w:p w14:paraId="2084E34D" w14:textId="03F625AB" w:rsidR="002D2A5E" w:rsidRPr="002D2A5E" w:rsidRDefault="002D2A5E" w:rsidP="002D2A5E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upravuje oprávnenosť výdavkov pre skupinu 023 – </w:t>
      </w:r>
      <w:r w:rsidRPr="00080822">
        <w:rPr>
          <w:rFonts w:ascii="Arial" w:eastAsia="Times New Roman" w:hAnsi="Arial" w:cs="Arial"/>
          <w:i/>
          <w:iCs/>
          <w:sz w:val="22"/>
        </w:rPr>
        <w:t>Dopravné prostriedky</w:t>
      </w:r>
      <w:r>
        <w:rPr>
          <w:rFonts w:ascii="Arial" w:eastAsia="Times New Roman" w:hAnsi="Arial" w:cs="Arial"/>
          <w:sz w:val="22"/>
        </w:rPr>
        <w:t xml:space="preserve"> v</w:t>
      </w:r>
      <w:r w:rsidR="00170F9B">
        <w:rPr>
          <w:rFonts w:ascii="Arial" w:eastAsia="Times New Roman" w:hAnsi="Arial" w:cs="Arial"/>
          <w:sz w:val="22"/>
        </w:rPr>
        <w:t> </w:t>
      </w:r>
      <w:r>
        <w:rPr>
          <w:rFonts w:ascii="Arial" w:eastAsia="Times New Roman" w:hAnsi="Arial" w:cs="Arial"/>
          <w:sz w:val="22"/>
        </w:rPr>
        <w:t>z</w:t>
      </w:r>
      <w:r w:rsidR="00170F9B">
        <w:rPr>
          <w:rFonts w:ascii="Arial" w:eastAsia="Times New Roman" w:hAnsi="Arial" w:cs="Arial"/>
          <w:sz w:val="22"/>
        </w:rPr>
        <w:t>mysle aktualizácie IM CLLD verzia 2.0</w:t>
      </w:r>
    </w:p>
    <w:p w14:paraId="1AFE8AE2" w14:textId="150FCB6B" w:rsidR="006B1F78" w:rsidRDefault="006B1F78" w:rsidP="00170F9B">
      <w:pPr>
        <w:pStyle w:val="Odsekzoznamu"/>
        <w:ind w:left="644"/>
        <w:jc w:val="both"/>
        <w:rPr>
          <w:rFonts w:ascii="Arial" w:eastAsia="Times New Roman" w:hAnsi="Arial" w:cs="Arial"/>
          <w:b/>
          <w:bCs/>
          <w:sz w:val="22"/>
        </w:rPr>
      </w:pPr>
      <w:r w:rsidRPr="00170F9B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</w:p>
    <w:p w14:paraId="19FB877D" w14:textId="66782B5B" w:rsidR="00170F9B" w:rsidRPr="00170F9B" w:rsidRDefault="00170F9B" w:rsidP="00170F9B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v stĺpci </w:t>
      </w:r>
      <w:r w:rsidRPr="00080822">
        <w:rPr>
          <w:rFonts w:ascii="Arial" w:eastAsia="Times New Roman" w:hAnsi="Arial" w:cs="Arial"/>
          <w:i/>
          <w:iCs/>
          <w:sz w:val="22"/>
        </w:rPr>
        <w:t>Čas plnenia</w:t>
      </w:r>
      <w:r>
        <w:rPr>
          <w:rFonts w:ascii="Arial" w:eastAsia="Times New Roman" w:hAnsi="Arial" w:cs="Arial"/>
          <w:sz w:val="22"/>
        </w:rPr>
        <w:t xml:space="preserve"> a príslušné poznámky pod čiarou v zmysle aktualizácie IM CLLD verzia 1.9</w:t>
      </w:r>
    </w:p>
    <w:p w14:paraId="3222CC75" w14:textId="49DED537" w:rsidR="006B1F78" w:rsidRDefault="006B1F78" w:rsidP="00170F9B">
      <w:pPr>
        <w:pStyle w:val="Odsekzoznamu"/>
        <w:ind w:left="644"/>
        <w:jc w:val="both"/>
        <w:rPr>
          <w:rFonts w:ascii="Arial" w:eastAsia="Times New Roman" w:hAnsi="Arial" w:cs="Arial"/>
          <w:b/>
          <w:bCs/>
          <w:sz w:val="22"/>
        </w:rPr>
      </w:pPr>
      <w:r w:rsidRPr="00170F9B">
        <w:rPr>
          <w:rFonts w:ascii="Arial" w:eastAsia="Times New Roman" w:hAnsi="Arial" w:cs="Arial"/>
          <w:b/>
          <w:bCs/>
          <w:sz w:val="22"/>
        </w:rPr>
        <w:t>Príloha č. 4 výzvy – Kritériá pre výber projektov</w:t>
      </w:r>
    </w:p>
    <w:p w14:paraId="04A67CF2" w14:textId="75C20799" w:rsidR="00170F9B" w:rsidRPr="00170F9B" w:rsidRDefault="00170F9B" w:rsidP="00170F9B">
      <w:pPr>
        <w:pStyle w:val="Odsekzoznamu"/>
        <w:numPr>
          <w:ilvl w:val="0"/>
          <w:numId w:val="11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mení vylučujúce kritérium </w:t>
      </w:r>
      <w:r w:rsidRPr="00080822">
        <w:rPr>
          <w:rFonts w:ascii="Arial" w:eastAsia="Times New Roman" w:hAnsi="Arial" w:cs="Arial"/>
          <w:i/>
          <w:iCs/>
          <w:sz w:val="22"/>
        </w:rPr>
        <w:t>Vytvorenie pracovného miesta</w:t>
      </w:r>
      <w:r>
        <w:rPr>
          <w:rFonts w:ascii="Arial" w:eastAsia="Times New Roman" w:hAnsi="Arial" w:cs="Arial"/>
          <w:sz w:val="22"/>
        </w:rPr>
        <w:t xml:space="preserve"> a hodnotiace kritérium </w:t>
      </w:r>
      <w:r w:rsidRPr="00080822">
        <w:rPr>
          <w:rFonts w:ascii="Arial" w:eastAsia="Times New Roman" w:hAnsi="Arial" w:cs="Arial"/>
          <w:i/>
          <w:iCs/>
          <w:sz w:val="22"/>
        </w:rPr>
        <w:t>Hodnota vytvoreného pracovného miesta</w:t>
      </w:r>
      <w:r>
        <w:rPr>
          <w:rFonts w:ascii="Arial" w:eastAsia="Times New Roman" w:hAnsi="Arial" w:cs="Arial"/>
          <w:sz w:val="22"/>
        </w:rPr>
        <w:t xml:space="preserve"> v zmysle aktualizácie IM CLLD verzi</w:t>
      </w:r>
      <w:r w:rsidR="00080822">
        <w:rPr>
          <w:rFonts w:ascii="Arial" w:eastAsia="Times New Roman" w:hAnsi="Arial" w:cs="Arial"/>
          <w:sz w:val="22"/>
        </w:rPr>
        <w:t>e</w:t>
      </w:r>
      <w:r>
        <w:rPr>
          <w:rFonts w:ascii="Arial" w:eastAsia="Times New Roman" w:hAnsi="Arial" w:cs="Arial"/>
          <w:sz w:val="22"/>
        </w:rPr>
        <w:t xml:space="preserve"> </w:t>
      </w:r>
      <w:r w:rsidR="00080822">
        <w:rPr>
          <w:rFonts w:ascii="Arial" w:eastAsia="Times New Roman" w:hAnsi="Arial" w:cs="Arial"/>
          <w:sz w:val="22"/>
        </w:rPr>
        <w:t>2.0</w:t>
      </w:r>
    </w:p>
    <w:p w14:paraId="05032120" w14:textId="7C3FBC1E" w:rsidR="00A94A5E" w:rsidRDefault="00A94A5E" w:rsidP="006F52E2">
      <w:pPr>
        <w:pStyle w:val="Odsekzoznamu"/>
        <w:ind w:left="644"/>
        <w:jc w:val="both"/>
        <w:rPr>
          <w:rFonts w:ascii="Arial" w:eastAsia="Times New Roman" w:hAnsi="Arial" w:cs="Arial"/>
          <w:b/>
          <w:bCs/>
          <w:sz w:val="22"/>
        </w:rPr>
      </w:pPr>
      <w:r w:rsidRPr="006F52E2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6F52E2" w:rsidRPr="006F52E2">
        <w:rPr>
          <w:rFonts w:ascii="Arial" w:eastAsia="Times New Roman" w:hAnsi="Arial" w:cs="Arial"/>
          <w:b/>
          <w:bCs/>
          <w:sz w:val="22"/>
        </w:rPr>
        <w:t>2</w:t>
      </w:r>
      <w:r w:rsidRPr="006F52E2">
        <w:rPr>
          <w:rFonts w:ascii="Arial" w:eastAsia="Times New Roman" w:hAnsi="Arial" w:cs="Arial"/>
          <w:b/>
          <w:bCs/>
          <w:sz w:val="22"/>
        </w:rPr>
        <w:t xml:space="preserve"> Formulára ŽoPr – </w:t>
      </w:r>
      <w:r w:rsidR="006F52E2" w:rsidRPr="006F52E2">
        <w:rPr>
          <w:rFonts w:ascii="Arial" w:eastAsia="Times New Roman" w:hAnsi="Arial" w:cs="Arial"/>
          <w:b/>
          <w:bCs/>
          <w:sz w:val="22"/>
        </w:rPr>
        <w:t>Vyhlásenie o veľkosti podniku</w:t>
      </w:r>
    </w:p>
    <w:p w14:paraId="3420B286" w14:textId="3DCD3503" w:rsidR="006F52E2" w:rsidRDefault="006F52E2" w:rsidP="000030FA">
      <w:pPr>
        <w:pStyle w:val="Odsekzoznamu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Aktualizáciou výzvy sa upravujú formálne nedostatky a zrejmé nesprávnosti v zmysle aktualizácie IM CLLD verzia 1.9</w:t>
      </w:r>
    </w:p>
    <w:p w14:paraId="047799FF" w14:textId="0FBFECB6" w:rsidR="000030FA" w:rsidRDefault="000030FA" w:rsidP="000030FA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2"/>
        </w:rPr>
      </w:pPr>
      <w:r w:rsidRPr="000030FA">
        <w:rPr>
          <w:rFonts w:ascii="Arial" w:eastAsia="Times New Roman" w:hAnsi="Arial" w:cs="Arial"/>
          <w:b/>
          <w:bCs/>
          <w:sz w:val="22"/>
        </w:rPr>
        <w:t>Príloha č.3 Formulára ŽoPr – Záväzný úverový prísľub</w:t>
      </w:r>
    </w:p>
    <w:p w14:paraId="50E8BC7C" w14:textId="23251C5E" w:rsidR="000030FA" w:rsidRPr="000030FA" w:rsidRDefault="000030FA" w:rsidP="000030FA">
      <w:pPr>
        <w:pStyle w:val="Odsekzoznamu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došlo k prečíslovaniu prílohy na č.4</w:t>
      </w:r>
    </w:p>
    <w:p w14:paraId="23465599" w14:textId="625D05BD" w:rsidR="000030FA" w:rsidRDefault="000030FA" w:rsidP="000030FA">
      <w:p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            Príloha č. 5 Formulára ŽoPr – Rozpočet projektu</w:t>
      </w:r>
    </w:p>
    <w:p w14:paraId="25B20DD6" w14:textId="1EB8E488" w:rsidR="000030FA" w:rsidRPr="000030FA" w:rsidRDefault="000030FA" w:rsidP="000030FA">
      <w:pPr>
        <w:pStyle w:val="Odsekzoznamu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došlo k prečíslovaniu prílohy na č.6</w:t>
      </w:r>
    </w:p>
    <w:p w14:paraId="3623FE50" w14:textId="678548C1" w:rsidR="000030FA" w:rsidRDefault="000030FA" w:rsidP="000030FA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Príloha č. 6 Formulára ŽoPr – </w:t>
      </w:r>
      <w:r w:rsidR="00695066">
        <w:rPr>
          <w:rFonts w:ascii="Arial" w:eastAsia="Times New Roman" w:hAnsi="Arial" w:cs="Arial"/>
          <w:b/>
          <w:bCs/>
          <w:sz w:val="22"/>
        </w:rPr>
        <w:t>Ukazovatele hodnotenia finančnej situácie</w:t>
      </w:r>
    </w:p>
    <w:p w14:paraId="16BE1626" w14:textId="2FBC94EC" w:rsidR="00695066" w:rsidRPr="000030FA" w:rsidRDefault="00695066" w:rsidP="00695066">
      <w:pPr>
        <w:pStyle w:val="Odsekzoznamu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došlo k prečíslovaniu prílohy na č. 7</w:t>
      </w:r>
    </w:p>
    <w:p w14:paraId="506391DF" w14:textId="62C625F6" w:rsidR="00695066" w:rsidRDefault="00695066" w:rsidP="00695066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Príloha č. 7 Formulára ŽoPr – Finančná analýza</w:t>
      </w:r>
    </w:p>
    <w:p w14:paraId="1E9A3FA5" w14:textId="1E970E20" w:rsidR="00695066" w:rsidRPr="00695066" w:rsidRDefault="00695066" w:rsidP="00695066">
      <w:pPr>
        <w:pStyle w:val="Odsekzoznamu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došlo k prečíslovaniu prílohy na č. 8</w:t>
      </w:r>
    </w:p>
    <w:p w14:paraId="2405A417" w14:textId="7C520CD2" w:rsidR="00695066" w:rsidRDefault="00695066" w:rsidP="00695066">
      <w:p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lastRenderedPageBreak/>
        <w:t xml:space="preserve">            Príloha č. 7a Formulára ŽoPr – Inštrukcie k finančnej analýze</w:t>
      </w:r>
    </w:p>
    <w:p w14:paraId="5648A4F0" w14:textId="5A08FFD5" w:rsidR="00695066" w:rsidRPr="000030FA" w:rsidRDefault="00695066" w:rsidP="00695066">
      <w:pPr>
        <w:pStyle w:val="Odsekzoznamu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došlo k prečíslovaniu prílohy na č. 8a</w:t>
      </w:r>
    </w:p>
    <w:p w14:paraId="72C2BFA9" w14:textId="1B00BDAB" w:rsidR="00695066" w:rsidRDefault="00695066" w:rsidP="00695066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Príloha č.11 Formulára ŽoPr – Prehľad minimálnej pomoci</w:t>
      </w:r>
    </w:p>
    <w:p w14:paraId="69ECB1D9" w14:textId="7C512EC9" w:rsidR="001B5A5B" w:rsidRPr="000030FA" w:rsidRDefault="001B5A5B" w:rsidP="001B5A5B">
      <w:pPr>
        <w:pStyle w:val="Odsekzoznamu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b/>
          <w:bCs/>
          <w:sz w:val="22"/>
        </w:rPr>
      </w:pPr>
      <w:r>
        <w:rPr>
          <w:rFonts w:ascii="Arial" w:eastAsia="Times New Roman" w:hAnsi="Arial" w:cs="Arial"/>
          <w:sz w:val="22"/>
        </w:rPr>
        <w:t>Aktualizáciou výzvy došlo k prečíslovaniu prílohy na č. 12</w:t>
      </w:r>
    </w:p>
    <w:p w14:paraId="0678F8C8" w14:textId="77777777" w:rsidR="001B5A5B" w:rsidRDefault="001B5A5B" w:rsidP="00695066">
      <w:pPr>
        <w:spacing w:after="0"/>
        <w:ind w:left="720"/>
        <w:jc w:val="both"/>
        <w:rPr>
          <w:rFonts w:ascii="Arial" w:eastAsia="Times New Roman" w:hAnsi="Arial" w:cs="Arial"/>
          <w:b/>
          <w:bCs/>
          <w:sz w:val="22"/>
        </w:rPr>
      </w:pP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3FB7BDF0" w14:textId="662749C5" w:rsidR="005A0C83" w:rsidRPr="00F832C3" w:rsidRDefault="00861B42" w:rsidP="005A0C83">
      <w:pPr>
        <w:pStyle w:val="pf0"/>
        <w:rPr>
          <w:rFonts w:ascii="Arial" w:hAnsi="Arial" w:cs="Arial"/>
          <w:sz w:val="22"/>
          <w:szCs w:val="22"/>
        </w:rPr>
      </w:pPr>
      <w:r w:rsidRPr="008377C7">
        <w:rPr>
          <w:rFonts w:ascii="Arial" w:hAnsi="Arial" w:cs="Arial"/>
          <w:sz w:val="22"/>
        </w:rPr>
        <w:t>Zmeny vykonané touto aktualizáciou sa vzťahujú na ŽoPr</w:t>
      </w:r>
      <w:r w:rsidR="008377C7" w:rsidRPr="008377C7">
        <w:rPr>
          <w:rFonts w:ascii="Arial" w:hAnsi="Arial" w:cs="Arial"/>
          <w:sz w:val="22"/>
        </w:rPr>
        <w:t xml:space="preserve"> predložené odo dňa nadobudnutia účinnosti aktualizácie, teda v rámci nasledujúceho hodnotiaceho kola.</w:t>
      </w:r>
      <w:r w:rsidR="005A0C83">
        <w:rPr>
          <w:rFonts w:ascii="Arial" w:hAnsi="Arial" w:cs="Arial"/>
          <w:sz w:val="22"/>
        </w:rPr>
        <w:t xml:space="preserve">  </w:t>
      </w:r>
      <w:r w:rsidR="005A0C83" w:rsidRPr="00F832C3">
        <w:rPr>
          <w:rStyle w:val="cf01"/>
          <w:rFonts w:ascii="Arial" w:hAnsi="Arial" w:cs="Arial"/>
          <w:sz w:val="22"/>
          <w:szCs w:val="22"/>
        </w:rPr>
        <w:t>Zmena výzvy vo vzťahu k uzatváraniu hodnotiacich kôl výzvy sa aplikuje/uplatní odo dňa zverejnenia tejto aktualizácie výzvy.</w:t>
      </w:r>
    </w:p>
    <w:p w14:paraId="4F8E1CD8" w14:textId="06FE6B32" w:rsidR="00861B42" w:rsidRPr="008377C7" w:rsidRDefault="00861B42" w:rsidP="008377C7">
      <w:pPr>
        <w:jc w:val="both"/>
        <w:rPr>
          <w:rFonts w:ascii="Arial" w:eastAsia="Times New Roman" w:hAnsi="Arial" w:cs="Arial"/>
          <w:sz w:val="22"/>
        </w:rPr>
      </w:pPr>
    </w:p>
    <w:sectPr w:rsidR="00861B42" w:rsidRPr="008377C7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FFE8" w14:textId="77777777" w:rsidR="001B1E4A" w:rsidRDefault="001B1E4A" w:rsidP="00963D69">
      <w:pPr>
        <w:spacing w:after="0" w:line="240" w:lineRule="auto"/>
      </w:pPr>
      <w:r>
        <w:separator/>
      </w:r>
    </w:p>
  </w:endnote>
  <w:endnote w:type="continuationSeparator" w:id="0">
    <w:p w14:paraId="208AD288" w14:textId="77777777" w:rsidR="001B1E4A" w:rsidRDefault="001B1E4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403B" w14:textId="77777777" w:rsidR="001B1E4A" w:rsidRDefault="001B1E4A" w:rsidP="00963D69">
      <w:pPr>
        <w:spacing w:after="0" w:line="240" w:lineRule="auto"/>
      </w:pPr>
      <w:r>
        <w:separator/>
      </w:r>
    </w:p>
  </w:footnote>
  <w:footnote w:type="continuationSeparator" w:id="0">
    <w:p w14:paraId="5579F1D4" w14:textId="77777777" w:rsidR="001B1E4A" w:rsidRDefault="001B1E4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86B980A" w:rsidR="00963D69" w:rsidRPr="001F013A" w:rsidRDefault="00761D9F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8FE2D2F">
              <wp:simplePos x="0" y="0"/>
              <wp:positionH relativeFrom="column">
                <wp:posOffset>90805</wp:posOffset>
              </wp:positionH>
              <wp:positionV relativeFrom="paragraph">
                <wp:posOffset>-99060</wp:posOffset>
              </wp:positionV>
              <wp:extent cx="1000125" cy="53340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53340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485A39C8" w:rsidR="00963D69" w:rsidRPr="00CC6608" w:rsidRDefault="00761D9F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778BC" wp14:editId="448F9E49">
                                <wp:extent cx="662940" cy="388620"/>
                                <wp:effectExtent l="0" t="0" r="3810" b="0"/>
                                <wp:docPr id="5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ázok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BDA87B" id="Zaoblený obdĺžnik 15" o:spid="_x0000_s1026" style="position:absolute;margin-left:7.15pt;margin-top:-7.8pt;width:78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485A39C8" w:rsidR="00963D69" w:rsidRPr="00CC6608" w:rsidRDefault="00761D9F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6778BC" wp14:editId="448F9E49">
                          <wp:extent cx="662940" cy="388620"/>
                          <wp:effectExtent l="0" t="0" r="3810" b="0"/>
                          <wp:docPr id="5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ázok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81D041E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C9F4278C"/>
    <w:lvl w:ilvl="0" w:tplc="9B8CF3E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40841"/>
    <w:multiLevelType w:val="hybridMultilevel"/>
    <w:tmpl w:val="02D29E5E"/>
    <w:lvl w:ilvl="0" w:tplc="6A3854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533027">
    <w:abstractNumId w:val="8"/>
  </w:num>
  <w:num w:numId="2" w16cid:durableId="1014725146">
    <w:abstractNumId w:val="10"/>
  </w:num>
  <w:num w:numId="3" w16cid:durableId="1046103733">
    <w:abstractNumId w:val="7"/>
  </w:num>
  <w:num w:numId="4" w16cid:durableId="1131676270">
    <w:abstractNumId w:val="2"/>
  </w:num>
  <w:num w:numId="5" w16cid:durableId="120147482">
    <w:abstractNumId w:val="5"/>
  </w:num>
  <w:num w:numId="6" w16cid:durableId="1800370919">
    <w:abstractNumId w:val="3"/>
  </w:num>
  <w:num w:numId="7" w16cid:durableId="1773893922">
    <w:abstractNumId w:val="0"/>
  </w:num>
  <w:num w:numId="8" w16cid:durableId="847910341">
    <w:abstractNumId w:val="4"/>
  </w:num>
  <w:num w:numId="9" w16cid:durableId="1741099688">
    <w:abstractNumId w:val="1"/>
  </w:num>
  <w:num w:numId="10" w16cid:durableId="188958856">
    <w:abstractNumId w:val="6"/>
  </w:num>
  <w:num w:numId="11" w16cid:durableId="1198935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30FA"/>
    <w:rsid w:val="00004A70"/>
    <w:rsid w:val="00012332"/>
    <w:rsid w:val="00037CD5"/>
    <w:rsid w:val="00080822"/>
    <w:rsid w:val="000825D4"/>
    <w:rsid w:val="00113125"/>
    <w:rsid w:val="001242F3"/>
    <w:rsid w:val="0012754F"/>
    <w:rsid w:val="00170F9B"/>
    <w:rsid w:val="00187D90"/>
    <w:rsid w:val="0019748C"/>
    <w:rsid w:val="001B1E4A"/>
    <w:rsid w:val="001B5A5B"/>
    <w:rsid w:val="00206360"/>
    <w:rsid w:val="00213331"/>
    <w:rsid w:val="00215B35"/>
    <w:rsid w:val="002209AC"/>
    <w:rsid w:val="00233813"/>
    <w:rsid w:val="00245885"/>
    <w:rsid w:val="00272EBF"/>
    <w:rsid w:val="00276478"/>
    <w:rsid w:val="002D2A5E"/>
    <w:rsid w:val="00306856"/>
    <w:rsid w:val="003114F4"/>
    <w:rsid w:val="00314F0B"/>
    <w:rsid w:val="003220A5"/>
    <w:rsid w:val="00337D92"/>
    <w:rsid w:val="00377C9C"/>
    <w:rsid w:val="00381870"/>
    <w:rsid w:val="0039642A"/>
    <w:rsid w:val="003E0DAB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D750C"/>
    <w:rsid w:val="004E40D3"/>
    <w:rsid w:val="00534FE6"/>
    <w:rsid w:val="00555CD4"/>
    <w:rsid w:val="005721EC"/>
    <w:rsid w:val="00580AC1"/>
    <w:rsid w:val="005A0C83"/>
    <w:rsid w:val="005A712A"/>
    <w:rsid w:val="005E0146"/>
    <w:rsid w:val="00623994"/>
    <w:rsid w:val="00667DC8"/>
    <w:rsid w:val="00695066"/>
    <w:rsid w:val="006B1F78"/>
    <w:rsid w:val="006F52E2"/>
    <w:rsid w:val="00707B9A"/>
    <w:rsid w:val="007210D6"/>
    <w:rsid w:val="00734974"/>
    <w:rsid w:val="00761D9F"/>
    <w:rsid w:val="00782F08"/>
    <w:rsid w:val="007868E7"/>
    <w:rsid w:val="00820885"/>
    <w:rsid w:val="008377C7"/>
    <w:rsid w:val="00861B42"/>
    <w:rsid w:val="008C7426"/>
    <w:rsid w:val="00913796"/>
    <w:rsid w:val="0092167B"/>
    <w:rsid w:val="00927F11"/>
    <w:rsid w:val="00945C2C"/>
    <w:rsid w:val="0094699D"/>
    <w:rsid w:val="00963D69"/>
    <w:rsid w:val="00991ABB"/>
    <w:rsid w:val="00A42F19"/>
    <w:rsid w:val="00A553E9"/>
    <w:rsid w:val="00A94A5E"/>
    <w:rsid w:val="00AB78D8"/>
    <w:rsid w:val="00AD7663"/>
    <w:rsid w:val="00AE0720"/>
    <w:rsid w:val="00AE5B4C"/>
    <w:rsid w:val="00B04457"/>
    <w:rsid w:val="00B139AC"/>
    <w:rsid w:val="00B313A4"/>
    <w:rsid w:val="00B34E00"/>
    <w:rsid w:val="00B9496E"/>
    <w:rsid w:val="00BE7262"/>
    <w:rsid w:val="00C04AFB"/>
    <w:rsid w:val="00C04DD4"/>
    <w:rsid w:val="00C43EC7"/>
    <w:rsid w:val="00C518BF"/>
    <w:rsid w:val="00C6480D"/>
    <w:rsid w:val="00C64AC4"/>
    <w:rsid w:val="00CE6026"/>
    <w:rsid w:val="00CF74C9"/>
    <w:rsid w:val="00D017A3"/>
    <w:rsid w:val="00D10C98"/>
    <w:rsid w:val="00D1258B"/>
    <w:rsid w:val="00D17A2E"/>
    <w:rsid w:val="00D20EDA"/>
    <w:rsid w:val="00D53D8E"/>
    <w:rsid w:val="00D61901"/>
    <w:rsid w:val="00D96CC1"/>
    <w:rsid w:val="00D97CFE"/>
    <w:rsid w:val="00DC1B94"/>
    <w:rsid w:val="00E43A83"/>
    <w:rsid w:val="00E7222D"/>
    <w:rsid w:val="00E86FBE"/>
    <w:rsid w:val="00EB40E8"/>
    <w:rsid w:val="00ED0D4F"/>
    <w:rsid w:val="00EE22B4"/>
    <w:rsid w:val="00EF3E2C"/>
    <w:rsid w:val="00F5462D"/>
    <w:rsid w:val="00F832C3"/>
    <w:rsid w:val="00FA696B"/>
    <w:rsid w:val="00FB42C4"/>
    <w:rsid w:val="00FC4E72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paragraph" w:customStyle="1" w:styleId="pf0">
    <w:name w:val="pf0"/>
    <w:basedOn w:val="Normlny"/>
    <w:rsid w:val="005A0C8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f01">
    <w:name w:val="cf01"/>
    <w:basedOn w:val="Predvolenpsmoodseku"/>
    <w:rsid w:val="005A0C8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Predvolenpsmoodseku"/>
    <w:rsid w:val="005A0C83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2023-04-28T09:17:00Z</dcterms:created>
  <dcterms:modified xsi:type="dcterms:W3CDTF">2023-04-28T10:37:00Z</dcterms:modified>
</cp:coreProperties>
</file>