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E0" w:rsidRDefault="001104E0" w:rsidP="001104E0">
      <w:pPr>
        <w:pBdr>
          <w:bottom w:val="single" w:sz="12" w:space="1" w:color="auto"/>
        </w:pBdr>
        <w:tabs>
          <w:tab w:val="left" w:pos="9240"/>
          <w:tab w:val="left" w:pos="9360"/>
        </w:tabs>
      </w:pPr>
      <w:r>
        <w:rPr>
          <w:noProof/>
        </w:rPr>
        <w:pict>
          <v:rect id="_x0000_s1026" style="position:absolute;margin-left:69.6pt;margin-top:8.1pt;width:392.6pt;height:54pt;z-index:251660288" filled="f" stroked="f" strokeweight="0">
            <v:textbox style="mso-next-textbox:#_x0000_s1026" inset="0,0,0,0">
              <w:txbxContent>
                <w:p w:rsidR="001104E0" w:rsidRDefault="001104E0" w:rsidP="001104E0">
                  <w:pPr>
                    <w:ind w:left="3540"/>
                    <w:rPr>
                      <w:rFonts w:ascii="ITC Bookman" w:eastAsia="Batang" w:hAnsi="ITC Bookman" w:cs="ITC Bookman"/>
                      <w:spacing w:val="22"/>
                      <w:sz w:val="32"/>
                      <w:szCs w:val="32"/>
                    </w:rPr>
                  </w:pPr>
                  <w:r>
                    <w:rPr>
                      <w:rFonts w:ascii="ITC Bookman" w:eastAsia="Batang" w:hAnsi="ITC Bookman" w:cs="ITC Bookman"/>
                      <w:spacing w:val="22"/>
                      <w:sz w:val="28"/>
                      <w:szCs w:val="28"/>
                    </w:rPr>
                    <w:t xml:space="preserve">            </w:t>
                  </w:r>
                </w:p>
                <w:p w:rsidR="001104E0" w:rsidRPr="005E0905" w:rsidRDefault="001104E0" w:rsidP="001104E0">
                  <w:pPr>
                    <w:jc w:val="right"/>
                    <w:rPr>
                      <w:rFonts w:ascii="Arial" w:eastAsia="Batang" w:hAnsi="Arial" w:cs="Arial"/>
                      <w:b/>
                      <w:bCs/>
                      <w:spacing w:val="22"/>
                      <w:sz w:val="32"/>
                      <w:szCs w:val="32"/>
                    </w:rPr>
                  </w:pPr>
                  <w:r w:rsidRPr="005E0905">
                    <w:rPr>
                      <w:rFonts w:ascii="Arial" w:eastAsia="Batang" w:hAnsi="Arial" w:cs="Arial"/>
                      <w:b/>
                      <w:bCs/>
                      <w:spacing w:val="22"/>
                      <w:sz w:val="32"/>
                      <w:szCs w:val="32"/>
                    </w:rPr>
                    <w:t xml:space="preserve">Banskobystrický </w:t>
                  </w:r>
                  <w:proofErr w:type="spellStart"/>
                  <w:r w:rsidRPr="005E0905">
                    <w:rPr>
                      <w:rFonts w:ascii="Arial" w:eastAsia="Batang" w:hAnsi="Arial" w:cs="Arial"/>
                      <w:b/>
                      <w:bCs/>
                      <w:spacing w:val="22"/>
                      <w:sz w:val="32"/>
                      <w:szCs w:val="32"/>
                    </w:rPr>
                    <w:t>geomontánny</w:t>
                  </w:r>
                  <w:proofErr w:type="spellEnd"/>
                  <w:r w:rsidRPr="005E0905">
                    <w:rPr>
                      <w:rFonts w:ascii="Arial" w:eastAsia="Batang" w:hAnsi="Arial" w:cs="Arial"/>
                      <w:b/>
                      <w:bCs/>
                      <w:spacing w:val="22"/>
                      <w:sz w:val="32"/>
                      <w:szCs w:val="32"/>
                    </w:rPr>
                    <w:t xml:space="preserve"> park</w:t>
                  </w:r>
                </w:p>
                <w:p w:rsidR="001104E0" w:rsidRDefault="001104E0" w:rsidP="001104E0">
                  <w:pPr>
                    <w:jc w:val="right"/>
                    <w:rPr>
                      <w:sz w:val="28"/>
                      <w:szCs w:val="28"/>
                    </w:rPr>
                  </w:pPr>
                  <w:r w:rsidRPr="005E0905">
                    <w:rPr>
                      <w:rFonts w:ascii="Arial" w:eastAsia="Batang" w:hAnsi="Arial" w:cs="Arial"/>
                      <w:spacing w:val="22"/>
                      <w:sz w:val="32"/>
                      <w:szCs w:val="32"/>
                    </w:rPr>
                    <w:t>občianske združenie</w:t>
                  </w:r>
                  <w:r>
                    <w:t xml:space="preserve">         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749300" cy="8255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E0" w:rsidRDefault="001104E0" w:rsidP="001104E0">
      <w:pPr>
        <w:tabs>
          <w:tab w:val="left" w:pos="480"/>
          <w:tab w:val="right" w:pos="9355"/>
        </w:tabs>
      </w:pPr>
      <w:r>
        <w:tab/>
      </w:r>
      <w:r>
        <w:tab/>
      </w:r>
    </w:p>
    <w:p w:rsidR="001104E0" w:rsidRPr="002B11E3" w:rsidRDefault="001104E0" w:rsidP="001104E0">
      <w:pPr>
        <w:pStyle w:val="Nadpis1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2B11E3">
        <w:rPr>
          <w:rFonts w:ascii="Arial" w:hAnsi="Arial" w:cs="Arial"/>
          <w:b/>
          <w:bCs/>
          <w:sz w:val="28"/>
          <w:szCs w:val="28"/>
        </w:rPr>
        <w:t>Výročná</w:t>
      </w:r>
      <w:proofErr w:type="spellEnd"/>
      <w:r w:rsidRPr="002B11E3">
        <w:rPr>
          <w:rFonts w:ascii="Arial" w:hAnsi="Arial" w:cs="Arial"/>
          <w:b/>
          <w:bCs/>
          <w:sz w:val="28"/>
          <w:szCs w:val="28"/>
        </w:rPr>
        <w:t xml:space="preserve"> správa o činnosti OZ za rok </w:t>
      </w:r>
      <w:r>
        <w:rPr>
          <w:rFonts w:ascii="Arial" w:hAnsi="Arial" w:cs="Arial"/>
          <w:b/>
          <w:bCs/>
          <w:sz w:val="28"/>
          <w:szCs w:val="28"/>
        </w:rPr>
        <w:t>2010</w:t>
      </w:r>
    </w:p>
    <w:p w:rsidR="001104E0" w:rsidRDefault="001104E0" w:rsidP="001104E0">
      <w:pPr>
        <w:rPr>
          <w:lang w:val="cs-CZ"/>
        </w:rPr>
      </w:pPr>
    </w:p>
    <w:p w:rsidR="001104E0" w:rsidRDefault="001104E0" w:rsidP="001104E0">
      <w:pPr>
        <w:jc w:val="both"/>
        <w:rPr>
          <w:rFonts w:ascii="Arial" w:hAnsi="Arial" w:cs="Arial"/>
          <w:b/>
          <w:bCs/>
        </w:rPr>
      </w:pPr>
    </w:p>
    <w:p w:rsidR="001104E0" w:rsidRDefault="001104E0" w:rsidP="001104E0">
      <w:pPr>
        <w:pStyle w:val="Zarkazkladnhotextu2"/>
        <w:rPr>
          <w:rFonts w:ascii="Arial" w:hAnsi="Arial" w:cs="Arial"/>
        </w:rPr>
      </w:pPr>
      <w:r>
        <w:rPr>
          <w:rFonts w:ascii="Arial" w:hAnsi="Arial" w:cs="Arial"/>
        </w:rPr>
        <w:t xml:space="preserve">Občianske združenie Banskobystrický </w:t>
      </w:r>
      <w:proofErr w:type="spellStart"/>
      <w:r>
        <w:rPr>
          <w:rFonts w:ascii="Arial" w:hAnsi="Arial" w:cs="Arial"/>
        </w:rPr>
        <w:t>geomontánny</w:t>
      </w:r>
      <w:proofErr w:type="spellEnd"/>
      <w:r>
        <w:rPr>
          <w:rFonts w:ascii="Arial" w:hAnsi="Arial" w:cs="Arial"/>
        </w:rPr>
        <w:t xml:space="preserve"> park (</w:t>
      </w:r>
      <w:proofErr w:type="spellStart"/>
      <w:r>
        <w:rPr>
          <w:rFonts w:ascii="Arial" w:hAnsi="Arial" w:cs="Arial"/>
        </w:rPr>
        <w:t>skr.OZ</w:t>
      </w:r>
      <w:proofErr w:type="spellEnd"/>
      <w:r>
        <w:rPr>
          <w:rFonts w:ascii="Arial" w:hAnsi="Arial" w:cs="Arial"/>
        </w:rPr>
        <w:t xml:space="preserve"> BBGMP)  bolo na ministerstve vnútra zaregistrované podľa zákona č. 83/1990 Zb. o združovaní občanov v znení neskorších predpisov dňa 29. decembra 2006 – činnosti spojené so zavedením chodu organizácie pod č. VVS/1-900/90-29327. Je dobrovoľnou nezávislou a neziskovou organizáciou.</w:t>
      </w:r>
    </w:p>
    <w:p w:rsidR="001104E0" w:rsidRDefault="001104E0" w:rsidP="001104E0">
      <w:pPr>
        <w:pStyle w:val="PredformtovanHTML"/>
        <w:tabs>
          <w:tab w:val="left" w:pos="0"/>
        </w:tabs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  <w:lang w:val="sk-SK"/>
        </w:rPr>
        <w:t xml:space="preserve">Cieľmi OZ sú: </w:t>
      </w:r>
    </w:p>
    <w:p w:rsidR="001104E0" w:rsidRDefault="001104E0" w:rsidP="001104E0">
      <w:pPr>
        <w:pStyle w:val="PredformtovanHTML"/>
        <w:numPr>
          <w:ilvl w:val="0"/>
          <w:numId w:val="2"/>
        </w:numPr>
        <w:tabs>
          <w:tab w:val="clear" w:pos="916"/>
          <w:tab w:val="left" w:pos="360"/>
          <w:tab w:val="num" w:pos="600"/>
          <w:tab w:val="left" w:pos="720"/>
        </w:tabs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Výskumná</w:t>
      </w:r>
      <w:proofErr w:type="spellEnd"/>
      <w:r>
        <w:rPr>
          <w:rFonts w:ascii="Arial" w:hAnsi="Arial" w:cs="Arial"/>
        </w:rPr>
        <w:t xml:space="preserve">, odborná, strategická a technická </w:t>
      </w:r>
      <w:proofErr w:type="spellStart"/>
      <w:r>
        <w:rPr>
          <w:rFonts w:ascii="Arial" w:hAnsi="Arial" w:cs="Arial"/>
        </w:rPr>
        <w:t>príprava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územia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spoločný</w:t>
      </w:r>
      <w:proofErr w:type="spell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koordinovaný  rozvoj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geoparku</w:t>
      </w:r>
      <w:proofErr w:type="spellEnd"/>
      <w:r>
        <w:rPr>
          <w:rFonts w:ascii="Arial" w:hAnsi="Arial" w:cs="Arial"/>
        </w:rPr>
        <w:t xml:space="preserve"> s využitím </w:t>
      </w:r>
      <w:proofErr w:type="spellStart"/>
      <w:r>
        <w:rPr>
          <w:rFonts w:ascii="Arial" w:hAnsi="Arial" w:cs="Arial"/>
        </w:rPr>
        <w:t>prírodných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montánnych</w:t>
      </w:r>
      <w:proofErr w:type="spellEnd"/>
      <w:r>
        <w:rPr>
          <w:rFonts w:ascii="Arial" w:hAnsi="Arial" w:cs="Arial"/>
        </w:rPr>
        <w:t xml:space="preserve">, geologických, </w:t>
      </w:r>
      <w:proofErr w:type="spellStart"/>
      <w:r>
        <w:rPr>
          <w:rFonts w:ascii="Arial" w:hAnsi="Arial" w:cs="Arial"/>
        </w:rPr>
        <w:t>kultúrnych</w:t>
      </w:r>
      <w:proofErr w:type="spellEnd"/>
      <w:r>
        <w:rPr>
          <w:rFonts w:ascii="Arial" w:hAnsi="Arial" w:cs="Arial"/>
        </w:rPr>
        <w:t xml:space="preserve"> a historických daností </w:t>
      </w:r>
      <w:proofErr w:type="spellStart"/>
      <w:r>
        <w:rPr>
          <w:rFonts w:ascii="Arial" w:hAnsi="Arial" w:cs="Arial"/>
        </w:rPr>
        <w:t>územia</w:t>
      </w:r>
      <w:proofErr w:type="spellEnd"/>
    </w:p>
    <w:p w:rsidR="001104E0" w:rsidRDefault="001104E0" w:rsidP="001104E0">
      <w:pPr>
        <w:pStyle w:val="PredformtovanHTML"/>
        <w:numPr>
          <w:ilvl w:val="0"/>
          <w:numId w:val="2"/>
        </w:numPr>
        <w:tabs>
          <w:tab w:val="clear" w:pos="916"/>
          <w:tab w:val="left" w:pos="360"/>
          <w:tab w:val="num" w:pos="600"/>
          <w:tab w:val="left" w:pos="720"/>
        </w:tabs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Vybudovanie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inštitucionalizácia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regionálneho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partnerstva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geoparku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efektívnym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systémom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komunikácie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funkčnými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prevádzkovými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vzťahmi</w:t>
      </w:r>
      <w:proofErr w:type="spellEnd"/>
    </w:p>
    <w:p w:rsidR="001104E0" w:rsidRDefault="001104E0" w:rsidP="001104E0">
      <w:pPr>
        <w:pStyle w:val="PredformtovanHTML"/>
        <w:numPr>
          <w:ilvl w:val="0"/>
          <w:numId w:val="2"/>
        </w:numPr>
        <w:tabs>
          <w:tab w:val="clear" w:pos="916"/>
          <w:tab w:val="left" w:pos="360"/>
          <w:tab w:val="num" w:pos="600"/>
          <w:tab w:val="left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Tvorba </w:t>
      </w:r>
      <w:proofErr w:type="spellStart"/>
      <w:r>
        <w:rPr>
          <w:rFonts w:ascii="Arial" w:hAnsi="Arial" w:cs="Arial"/>
        </w:rPr>
        <w:t>podmienok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zvýšenie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environmentálneho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povedomia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verejnosti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geoturizme</w:t>
      </w:r>
      <w:proofErr w:type="spellEnd"/>
      <w:r>
        <w:rPr>
          <w:rFonts w:ascii="Arial" w:hAnsi="Arial" w:cs="Arial"/>
        </w:rPr>
        <w:t xml:space="preserve">    </w:t>
      </w:r>
    </w:p>
    <w:p w:rsidR="001104E0" w:rsidRDefault="001104E0" w:rsidP="001104E0">
      <w:pPr>
        <w:pStyle w:val="PredformtovanHTML"/>
        <w:numPr>
          <w:ilvl w:val="0"/>
          <w:numId w:val="2"/>
        </w:numPr>
        <w:tabs>
          <w:tab w:val="clear" w:pos="916"/>
          <w:tab w:val="left" w:pos="360"/>
          <w:tab w:val="num" w:pos="600"/>
          <w:tab w:val="left" w:pos="720"/>
        </w:tabs>
        <w:ind w:left="360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</w:rPr>
        <w:t>Budovanie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regionálnej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infraštruktúry</w:t>
      </w:r>
      <w:proofErr w:type="spellEnd"/>
      <w:r>
        <w:rPr>
          <w:rFonts w:ascii="Arial" w:hAnsi="Arial" w:cs="Arial"/>
        </w:rPr>
        <w:t xml:space="preserve">  tzv. </w:t>
      </w:r>
      <w:proofErr w:type="spellStart"/>
      <w:r>
        <w:rPr>
          <w:rFonts w:ascii="Arial" w:hAnsi="Arial" w:cs="Arial"/>
        </w:rPr>
        <w:t>jadrových</w:t>
      </w:r>
      <w:proofErr w:type="spellEnd"/>
      <w:r>
        <w:rPr>
          <w:rFonts w:ascii="Arial" w:hAnsi="Arial" w:cs="Arial"/>
        </w:rPr>
        <w:t xml:space="preserve"> a podporných neziskových </w:t>
      </w:r>
      <w:proofErr w:type="spellStart"/>
      <w:r>
        <w:rPr>
          <w:rFonts w:ascii="Arial" w:hAnsi="Arial" w:cs="Arial"/>
        </w:rPr>
        <w:t>investícií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geoparku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múzeá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náučné</w:t>
      </w:r>
      <w:proofErr w:type="spellEnd"/>
      <w:r>
        <w:rPr>
          <w:rFonts w:ascii="Arial" w:hAnsi="Arial" w:cs="Arial"/>
        </w:rPr>
        <w:t xml:space="preserve"> chodníky, </w:t>
      </w:r>
      <w:proofErr w:type="spellStart"/>
      <w:r>
        <w:rPr>
          <w:rFonts w:ascii="Arial" w:hAnsi="Arial" w:cs="Arial"/>
        </w:rPr>
        <w:t>expozície</w:t>
      </w:r>
      <w:proofErr w:type="spellEnd"/>
      <w:r>
        <w:rPr>
          <w:rFonts w:ascii="Arial" w:hAnsi="Arial" w:cs="Arial"/>
        </w:rPr>
        <w:t xml:space="preserve">, lokality </w:t>
      </w:r>
      <w:proofErr w:type="spellStart"/>
      <w:r>
        <w:rPr>
          <w:rFonts w:ascii="Arial" w:hAnsi="Arial" w:cs="Arial"/>
        </w:rPr>
        <w:t>atď</w:t>
      </w:r>
      <w:proofErr w:type="spellEnd"/>
      <w:r>
        <w:rPr>
          <w:rFonts w:ascii="Arial" w:hAnsi="Arial" w:cs="Arial"/>
        </w:rPr>
        <w:t>.)</w:t>
      </w:r>
    </w:p>
    <w:p w:rsidR="001104E0" w:rsidRDefault="001104E0" w:rsidP="001104E0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:rsidR="001104E0" w:rsidRDefault="001104E0" w:rsidP="001104E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Banskobystrický </w:t>
      </w:r>
      <w:proofErr w:type="spellStart"/>
      <w:r>
        <w:rPr>
          <w:rFonts w:ascii="Arial" w:hAnsi="Arial" w:cs="Arial"/>
          <w:b/>
          <w:bCs/>
        </w:rPr>
        <w:t>geomontánny</w:t>
      </w:r>
      <w:proofErr w:type="spellEnd"/>
      <w:r>
        <w:rPr>
          <w:rFonts w:ascii="Arial" w:hAnsi="Arial" w:cs="Arial"/>
          <w:b/>
          <w:bCs/>
        </w:rPr>
        <w:t xml:space="preserve"> park je riešený ako komplexný projekt budovania </w:t>
      </w:r>
      <w:proofErr w:type="spellStart"/>
      <w:r>
        <w:rPr>
          <w:rFonts w:ascii="Arial" w:hAnsi="Arial" w:cs="Arial"/>
          <w:b/>
          <w:bCs/>
        </w:rPr>
        <w:t>geoparku</w:t>
      </w:r>
      <w:proofErr w:type="spellEnd"/>
      <w:r>
        <w:rPr>
          <w:rFonts w:ascii="Arial" w:hAnsi="Arial" w:cs="Arial"/>
          <w:b/>
          <w:bCs/>
        </w:rPr>
        <w:t xml:space="preserve"> už od roku 2005. </w:t>
      </w:r>
      <w:r>
        <w:rPr>
          <w:rFonts w:ascii="Arial" w:hAnsi="Arial" w:cs="Arial"/>
        </w:rPr>
        <w:t xml:space="preserve">Hlavným predpokladom pre vznik projektu je existencia a využitie množstva geologických, </w:t>
      </w:r>
      <w:proofErr w:type="spellStart"/>
      <w:r>
        <w:rPr>
          <w:rFonts w:ascii="Arial" w:hAnsi="Arial" w:cs="Arial"/>
        </w:rPr>
        <w:t>montanistických</w:t>
      </w:r>
      <w:proofErr w:type="spellEnd"/>
      <w:r>
        <w:rPr>
          <w:rFonts w:ascii="Arial" w:hAnsi="Arial" w:cs="Arial"/>
        </w:rPr>
        <w:t xml:space="preserve"> a na nich nadväzujúcich ekologických fenoménov a historických pamiatok Banskej Bystrice a jej okolia. Ide o  6 </w:t>
      </w:r>
      <w:proofErr w:type="spellStart"/>
      <w:r>
        <w:rPr>
          <w:rFonts w:ascii="Arial" w:hAnsi="Arial" w:cs="Arial"/>
        </w:rPr>
        <w:t>geomontánnych</w:t>
      </w:r>
      <w:proofErr w:type="spellEnd"/>
      <w:r>
        <w:rPr>
          <w:rFonts w:ascii="Arial" w:hAnsi="Arial" w:cs="Arial"/>
        </w:rPr>
        <w:t xml:space="preserve"> oblasti : </w:t>
      </w:r>
      <w:r>
        <w:rPr>
          <w:rFonts w:ascii="Arial" w:hAnsi="Arial" w:cs="Arial"/>
          <w:b/>
          <w:bCs/>
        </w:rPr>
        <w:t>Starohorsko-špaňodolinská, </w:t>
      </w:r>
      <w:proofErr w:type="spellStart"/>
      <w:r>
        <w:rPr>
          <w:rFonts w:ascii="Arial" w:hAnsi="Arial" w:cs="Arial"/>
          <w:b/>
          <w:bCs/>
        </w:rPr>
        <w:t>Ľubietovsko-ponická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Pohronsko</w:t>
      </w:r>
      <w:proofErr w:type="spellEnd"/>
      <w:r>
        <w:rPr>
          <w:rFonts w:ascii="Arial" w:hAnsi="Arial" w:cs="Arial"/>
          <w:b/>
          <w:bCs/>
        </w:rPr>
        <w:t xml:space="preserve"> – </w:t>
      </w:r>
      <w:proofErr w:type="spellStart"/>
      <w:r>
        <w:rPr>
          <w:rFonts w:ascii="Arial" w:hAnsi="Arial" w:cs="Arial"/>
          <w:b/>
          <w:bCs/>
        </w:rPr>
        <w:t>bukovecká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Badínsko</w:t>
      </w:r>
      <w:proofErr w:type="spellEnd"/>
      <w:r>
        <w:rPr>
          <w:rFonts w:ascii="Arial" w:hAnsi="Arial" w:cs="Arial"/>
          <w:b/>
          <w:bCs/>
        </w:rPr>
        <w:t xml:space="preserve"> – </w:t>
      </w:r>
      <w:proofErr w:type="spellStart"/>
      <w:r>
        <w:rPr>
          <w:rFonts w:ascii="Arial" w:hAnsi="Arial" w:cs="Arial"/>
          <w:b/>
          <w:bCs/>
        </w:rPr>
        <w:t>tajovská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geomontánna</w:t>
      </w:r>
      <w:proofErr w:type="spellEnd"/>
      <w:r>
        <w:rPr>
          <w:rFonts w:ascii="Arial" w:hAnsi="Arial" w:cs="Arial"/>
          <w:b/>
          <w:bCs/>
        </w:rPr>
        <w:t xml:space="preserve"> oblasť, banícke mesto Banská Bystrica a banícke mesto Kremnica. </w:t>
      </w:r>
      <w:r>
        <w:rPr>
          <w:rFonts w:ascii="Arial" w:hAnsi="Arial" w:cs="Arial"/>
        </w:rPr>
        <w:t xml:space="preserve">Projekt bol iniciovaný  a pripravovaný za aktívnej spolupráce regionálnej, miestnej samosprávy, odborných inštitúcií na území mesta Banská Bystrica a zástupcov súkromného sektora. </w:t>
      </w:r>
    </w:p>
    <w:p w:rsidR="001104E0" w:rsidRDefault="001104E0" w:rsidP="001104E0">
      <w:pPr>
        <w:jc w:val="both"/>
        <w:rPr>
          <w:rFonts w:ascii="Verdana" w:hAnsi="Verdana" w:cs="Verdana"/>
        </w:rPr>
      </w:pPr>
    </w:p>
    <w:p w:rsidR="001104E0" w:rsidRDefault="001104E0" w:rsidP="001104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Predmetom činnosti  združenia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 xml:space="preserve">sú nasledovné permanentné aktivity : </w:t>
      </w:r>
      <w:r>
        <w:rPr>
          <w:rFonts w:ascii="Arial" w:hAnsi="Arial" w:cs="Arial"/>
          <w:b/>
          <w:bCs/>
        </w:rPr>
        <w:t xml:space="preserve">  </w:t>
      </w:r>
    </w:p>
    <w:p w:rsidR="001104E0" w:rsidRPr="00843E5D" w:rsidRDefault="001104E0" w:rsidP="001104E0">
      <w:pPr>
        <w:pStyle w:val="Zkladntext"/>
        <w:numPr>
          <w:ilvl w:val="0"/>
          <w:numId w:val="1"/>
        </w:numPr>
        <w:tabs>
          <w:tab w:val="clear" w:pos="1065"/>
          <w:tab w:val="num" w:pos="480"/>
        </w:tabs>
        <w:ind w:left="480" w:hanging="480"/>
        <w:rPr>
          <w:rFonts w:ascii="Arial" w:hAnsi="Arial" w:cs="Arial"/>
          <w:b w:val="0"/>
          <w:bCs w:val="0"/>
          <w:sz w:val="18"/>
          <w:szCs w:val="18"/>
        </w:rPr>
      </w:pPr>
      <w:r w:rsidRPr="00843E5D">
        <w:rPr>
          <w:rFonts w:ascii="Arial" w:hAnsi="Arial" w:cs="Arial"/>
          <w:b w:val="0"/>
          <w:bCs w:val="0"/>
          <w:sz w:val="18"/>
          <w:szCs w:val="18"/>
        </w:rPr>
        <w:t>získavanie, spracovávanie a šírenie informácií a poznatkov o </w:t>
      </w:r>
      <w:proofErr w:type="spellStart"/>
      <w:r w:rsidRPr="00843E5D">
        <w:rPr>
          <w:rFonts w:ascii="Arial" w:hAnsi="Arial" w:cs="Arial"/>
          <w:b w:val="0"/>
          <w:bCs w:val="0"/>
          <w:sz w:val="18"/>
          <w:szCs w:val="18"/>
        </w:rPr>
        <w:t>geomontánnom</w:t>
      </w:r>
      <w:proofErr w:type="spellEnd"/>
      <w:r w:rsidRPr="00843E5D">
        <w:rPr>
          <w:rFonts w:ascii="Arial" w:hAnsi="Arial" w:cs="Arial"/>
          <w:b w:val="0"/>
          <w:bCs w:val="0"/>
          <w:sz w:val="18"/>
          <w:szCs w:val="18"/>
        </w:rPr>
        <w:t xml:space="preserve"> parku,</w:t>
      </w:r>
    </w:p>
    <w:p w:rsidR="001104E0" w:rsidRPr="00843E5D" w:rsidRDefault="001104E0" w:rsidP="001104E0">
      <w:pPr>
        <w:pStyle w:val="Zkladntext"/>
        <w:numPr>
          <w:ilvl w:val="0"/>
          <w:numId w:val="1"/>
        </w:numPr>
        <w:tabs>
          <w:tab w:val="clear" w:pos="1065"/>
          <w:tab w:val="num" w:pos="480"/>
        </w:tabs>
        <w:ind w:left="480" w:hanging="480"/>
        <w:rPr>
          <w:rFonts w:ascii="Arial" w:hAnsi="Arial" w:cs="Arial"/>
          <w:b w:val="0"/>
          <w:bCs w:val="0"/>
          <w:sz w:val="18"/>
          <w:szCs w:val="18"/>
        </w:rPr>
      </w:pPr>
      <w:r w:rsidRPr="00843E5D">
        <w:rPr>
          <w:rFonts w:ascii="Arial" w:hAnsi="Arial" w:cs="Arial"/>
          <w:b w:val="0"/>
          <w:bCs w:val="0"/>
          <w:sz w:val="18"/>
          <w:szCs w:val="18"/>
        </w:rPr>
        <w:t>koordinácia spoločných postupov v príprave a realizácii rozvojových projektov  cestovného ruchu, ľudských zdrojov, rozvoja obcí a základnej infraštruktúry,</w:t>
      </w:r>
    </w:p>
    <w:p w:rsidR="001104E0" w:rsidRPr="00843E5D" w:rsidRDefault="001104E0" w:rsidP="001104E0">
      <w:pPr>
        <w:pStyle w:val="Zkladntext"/>
        <w:numPr>
          <w:ilvl w:val="0"/>
          <w:numId w:val="1"/>
        </w:numPr>
        <w:tabs>
          <w:tab w:val="clear" w:pos="1065"/>
          <w:tab w:val="num" w:pos="480"/>
        </w:tabs>
        <w:ind w:left="480" w:hanging="480"/>
        <w:rPr>
          <w:rFonts w:ascii="Arial" w:hAnsi="Arial" w:cs="Arial"/>
          <w:b w:val="0"/>
          <w:bCs w:val="0"/>
          <w:sz w:val="18"/>
          <w:szCs w:val="18"/>
        </w:rPr>
      </w:pPr>
      <w:r w:rsidRPr="00843E5D">
        <w:rPr>
          <w:rFonts w:ascii="Arial" w:hAnsi="Arial" w:cs="Arial"/>
          <w:b w:val="0"/>
          <w:bCs w:val="0"/>
          <w:sz w:val="18"/>
          <w:szCs w:val="18"/>
        </w:rPr>
        <w:t>tvorba, rozvoj, ochrana, obnova a prezentácia kultúrno-historických, prírodných a geologických daností územia,</w:t>
      </w:r>
    </w:p>
    <w:p w:rsidR="001104E0" w:rsidRPr="00843E5D" w:rsidRDefault="001104E0" w:rsidP="001104E0">
      <w:pPr>
        <w:pStyle w:val="Zkladntext"/>
        <w:numPr>
          <w:ilvl w:val="0"/>
          <w:numId w:val="1"/>
        </w:numPr>
        <w:tabs>
          <w:tab w:val="clear" w:pos="1065"/>
          <w:tab w:val="num" w:pos="480"/>
        </w:tabs>
        <w:ind w:left="480" w:hanging="480"/>
        <w:rPr>
          <w:rFonts w:ascii="Arial" w:hAnsi="Arial" w:cs="Arial"/>
          <w:b w:val="0"/>
          <w:bCs w:val="0"/>
          <w:sz w:val="18"/>
          <w:szCs w:val="18"/>
        </w:rPr>
      </w:pPr>
      <w:r w:rsidRPr="00843E5D">
        <w:rPr>
          <w:rFonts w:ascii="Arial" w:hAnsi="Arial" w:cs="Arial"/>
          <w:b w:val="0"/>
          <w:bCs w:val="0"/>
          <w:sz w:val="18"/>
          <w:szCs w:val="18"/>
        </w:rPr>
        <w:t>organizovanie, prípadne spoluorganizovanie trvalých, periodických a </w:t>
      </w:r>
      <w:proofErr w:type="spellStart"/>
      <w:r w:rsidRPr="00843E5D">
        <w:rPr>
          <w:rFonts w:ascii="Arial" w:hAnsi="Arial" w:cs="Arial"/>
          <w:b w:val="0"/>
          <w:bCs w:val="0"/>
          <w:sz w:val="18"/>
          <w:szCs w:val="18"/>
        </w:rPr>
        <w:t>jednorázových</w:t>
      </w:r>
      <w:proofErr w:type="spellEnd"/>
      <w:r w:rsidRPr="00843E5D">
        <w:rPr>
          <w:rFonts w:ascii="Arial" w:hAnsi="Arial" w:cs="Arial"/>
          <w:b w:val="0"/>
          <w:bCs w:val="0"/>
          <w:sz w:val="18"/>
          <w:szCs w:val="18"/>
        </w:rPr>
        <w:t xml:space="preserve"> akcií, propagujúcich a  zviditeľňujúcich záujmové územie v tuzemsku a v zahraničí,</w:t>
      </w:r>
    </w:p>
    <w:p w:rsidR="001104E0" w:rsidRPr="00843E5D" w:rsidRDefault="001104E0" w:rsidP="001104E0">
      <w:pPr>
        <w:pStyle w:val="Zkladntext"/>
        <w:numPr>
          <w:ilvl w:val="0"/>
          <w:numId w:val="1"/>
        </w:numPr>
        <w:tabs>
          <w:tab w:val="clear" w:pos="1065"/>
          <w:tab w:val="num" w:pos="480"/>
        </w:tabs>
        <w:ind w:left="480" w:hanging="480"/>
        <w:rPr>
          <w:rFonts w:ascii="Arial" w:hAnsi="Arial" w:cs="Arial"/>
          <w:b w:val="0"/>
          <w:bCs w:val="0"/>
          <w:sz w:val="18"/>
          <w:szCs w:val="18"/>
        </w:rPr>
      </w:pPr>
      <w:r w:rsidRPr="00843E5D">
        <w:rPr>
          <w:rFonts w:ascii="Arial" w:hAnsi="Arial" w:cs="Arial"/>
          <w:b w:val="0"/>
          <w:bCs w:val="0"/>
          <w:sz w:val="18"/>
          <w:szCs w:val="18"/>
        </w:rPr>
        <w:t>príprava, spracovanie a manažment rozvojových projektov,</w:t>
      </w:r>
    </w:p>
    <w:p w:rsidR="001104E0" w:rsidRPr="00843E5D" w:rsidRDefault="001104E0" w:rsidP="001104E0">
      <w:pPr>
        <w:pStyle w:val="Zkladntext"/>
        <w:numPr>
          <w:ilvl w:val="0"/>
          <w:numId w:val="1"/>
        </w:numPr>
        <w:tabs>
          <w:tab w:val="clear" w:pos="1065"/>
          <w:tab w:val="num" w:pos="480"/>
        </w:tabs>
        <w:ind w:left="480" w:hanging="480"/>
        <w:rPr>
          <w:rFonts w:ascii="Arial" w:hAnsi="Arial" w:cs="Arial"/>
          <w:b w:val="0"/>
          <w:bCs w:val="0"/>
          <w:sz w:val="18"/>
          <w:szCs w:val="18"/>
        </w:rPr>
      </w:pPr>
      <w:r w:rsidRPr="00843E5D">
        <w:rPr>
          <w:rFonts w:ascii="Arial" w:hAnsi="Arial" w:cs="Arial"/>
          <w:b w:val="0"/>
          <w:bCs w:val="0"/>
          <w:sz w:val="18"/>
          <w:szCs w:val="18"/>
        </w:rPr>
        <w:t xml:space="preserve">príprava a realizácia vzdelávacích a výchovných aktivít, </w:t>
      </w:r>
    </w:p>
    <w:p w:rsidR="001104E0" w:rsidRPr="00843E5D" w:rsidRDefault="001104E0" w:rsidP="001104E0">
      <w:pPr>
        <w:pStyle w:val="Zkladntext"/>
        <w:numPr>
          <w:ilvl w:val="0"/>
          <w:numId w:val="1"/>
        </w:numPr>
        <w:tabs>
          <w:tab w:val="clear" w:pos="1065"/>
          <w:tab w:val="num" w:pos="480"/>
        </w:tabs>
        <w:ind w:left="480" w:hanging="480"/>
        <w:rPr>
          <w:rFonts w:ascii="Arial" w:hAnsi="Arial" w:cs="Arial"/>
          <w:b w:val="0"/>
          <w:bCs w:val="0"/>
          <w:sz w:val="18"/>
          <w:szCs w:val="18"/>
        </w:rPr>
      </w:pPr>
      <w:r w:rsidRPr="00843E5D">
        <w:rPr>
          <w:rFonts w:ascii="Arial" w:hAnsi="Arial" w:cs="Arial"/>
          <w:b w:val="0"/>
          <w:bCs w:val="0"/>
          <w:sz w:val="18"/>
          <w:szCs w:val="18"/>
        </w:rPr>
        <w:t xml:space="preserve">odborná pomoc v oblasti regionálneho a miestneho rozvoja a </w:t>
      </w:r>
      <w:proofErr w:type="spellStart"/>
      <w:r w:rsidRPr="00843E5D">
        <w:rPr>
          <w:rFonts w:ascii="Arial" w:hAnsi="Arial" w:cs="Arial"/>
          <w:b w:val="0"/>
          <w:bCs w:val="0"/>
          <w:sz w:val="18"/>
          <w:szCs w:val="18"/>
        </w:rPr>
        <w:t>facilitátorská</w:t>
      </w:r>
      <w:proofErr w:type="spellEnd"/>
      <w:r w:rsidRPr="00843E5D">
        <w:rPr>
          <w:rFonts w:ascii="Arial" w:hAnsi="Arial" w:cs="Arial"/>
          <w:b w:val="0"/>
          <w:bCs w:val="0"/>
          <w:sz w:val="18"/>
          <w:szCs w:val="18"/>
        </w:rPr>
        <w:t xml:space="preserve"> činnosť, </w:t>
      </w:r>
    </w:p>
    <w:p w:rsidR="001104E0" w:rsidRPr="00843E5D" w:rsidRDefault="001104E0" w:rsidP="001104E0">
      <w:pPr>
        <w:pStyle w:val="Zkladntext"/>
        <w:numPr>
          <w:ilvl w:val="0"/>
          <w:numId w:val="1"/>
        </w:numPr>
        <w:tabs>
          <w:tab w:val="clear" w:pos="1065"/>
          <w:tab w:val="num" w:pos="480"/>
        </w:tabs>
        <w:ind w:left="480" w:hanging="480"/>
        <w:rPr>
          <w:rFonts w:ascii="Arial" w:hAnsi="Arial" w:cs="Arial"/>
          <w:b w:val="0"/>
          <w:bCs w:val="0"/>
          <w:sz w:val="18"/>
          <w:szCs w:val="18"/>
        </w:rPr>
      </w:pPr>
      <w:r w:rsidRPr="00843E5D">
        <w:rPr>
          <w:rFonts w:ascii="Arial" w:hAnsi="Arial" w:cs="Arial"/>
          <w:b w:val="0"/>
          <w:bCs w:val="0"/>
          <w:sz w:val="18"/>
          <w:szCs w:val="18"/>
        </w:rPr>
        <w:t xml:space="preserve">presadzovanie záujmov a propagácia členov združenia a iných subjektov v záujme rozvoja územia </w:t>
      </w:r>
      <w:proofErr w:type="spellStart"/>
      <w:r w:rsidRPr="00843E5D">
        <w:rPr>
          <w:rFonts w:ascii="Arial" w:hAnsi="Arial" w:cs="Arial"/>
          <w:b w:val="0"/>
          <w:bCs w:val="0"/>
          <w:sz w:val="18"/>
          <w:szCs w:val="18"/>
        </w:rPr>
        <w:t>geomontánneho</w:t>
      </w:r>
      <w:proofErr w:type="spellEnd"/>
      <w:r w:rsidRPr="00843E5D">
        <w:rPr>
          <w:rFonts w:ascii="Arial" w:hAnsi="Arial" w:cs="Arial"/>
          <w:b w:val="0"/>
          <w:bCs w:val="0"/>
          <w:sz w:val="18"/>
          <w:szCs w:val="18"/>
        </w:rPr>
        <w:t xml:space="preserve"> parku,</w:t>
      </w:r>
    </w:p>
    <w:p w:rsidR="001104E0" w:rsidRPr="00843E5D" w:rsidRDefault="001104E0" w:rsidP="001104E0">
      <w:pPr>
        <w:pStyle w:val="Zkladntext"/>
        <w:numPr>
          <w:ilvl w:val="0"/>
          <w:numId w:val="1"/>
        </w:numPr>
        <w:tabs>
          <w:tab w:val="clear" w:pos="1065"/>
          <w:tab w:val="num" w:pos="480"/>
        </w:tabs>
        <w:ind w:left="480" w:hanging="480"/>
        <w:rPr>
          <w:rFonts w:ascii="Arial" w:hAnsi="Arial" w:cs="Arial"/>
          <w:b w:val="0"/>
          <w:bCs w:val="0"/>
          <w:sz w:val="18"/>
          <w:szCs w:val="18"/>
        </w:rPr>
      </w:pPr>
      <w:r w:rsidRPr="00843E5D">
        <w:rPr>
          <w:rFonts w:ascii="Arial" w:hAnsi="Arial" w:cs="Arial"/>
          <w:b w:val="0"/>
          <w:bCs w:val="0"/>
          <w:sz w:val="18"/>
          <w:szCs w:val="18"/>
        </w:rPr>
        <w:t xml:space="preserve">zabezpečenie ďalších činností na podporu rozvoja </w:t>
      </w:r>
      <w:proofErr w:type="spellStart"/>
      <w:r w:rsidRPr="00843E5D">
        <w:rPr>
          <w:rFonts w:ascii="Arial" w:hAnsi="Arial" w:cs="Arial"/>
          <w:b w:val="0"/>
          <w:bCs w:val="0"/>
          <w:sz w:val="18"/>
          <w:szCs w:val="18"/>
        </w:rPr>
        <w:t>geomontánneho</w:t>
      </w:r>
      <w:proofErr w:type="spellEnd"/>
      <w:r w:rsidRPr="00843E5D">
        <w:rPr>
          <w:rFonts w:ascii="Arial" w:hAnsi="Arial" w:cs="Arial"/>
          <w:b w:val="0"/>
          <w:bCs w:val="0"/>
          <w:sz w:val="18"/>
          <w:szCs w:val="18"/>
        </w:rPr>
        <w:t xml:space="preserve"> parku,</w:t>
      </w:r>
    </w:p>
    <w:p w:rsidR="001104E0" w:rsidRPr="00843E5D" w:rsidRDefault="001104E0" w:rsidP="001104E0">
      <w:pPr>
        <w:pStyle w:val="Zkladntext"/>
        <w:numPr>
          <w:ilvl w:val="0"/>
          <w:numId w:val="1"/>
        </w:numPr>
        <w:tabs>
          <w:tab w:val="clear" w:pos="1065"/>
          <w:tab w:val="num" w:pos="480"/>
        </w:tabs>
        <w:ind w:left="480" w:hanging="480"/>
        <w:rPr>
          <w:rFonts w:ascii="Arial" w:hAnsi="Arial" w:cs="Arial"/>
          <w:b w:val="0"/>
          <w:bCs w:val="0"/>
          <w:sz w:val="18"/>
          <w:szCs w:val="18"/>
        </w:rPr>
      </w:pPr>
      <w:r w:rsidRPr="00843E5D">
        <w:rPr>
          <w:rFonts w:ascii="Arial" w:hAnsi="Arial" w:cs="Arial"/>
          <w:b w:val="0"/>
          <w:bCs w:val="0"/>
          <w:sz w:val="18"/>
          <w:szCs w:val="18"/>
        </w:rPr>
        <w:t>zabezpečenie ďalších činností na podporu integrovaného rozvoja vidieka</w:t>
      </w:r>
    </w:p>
    <w:p w:rsidR="001104E0" w:rsidRDefault="001104E0" w:rsidP="001104E0">
      <w:pPr>
        <w:pStyle w:val="Zkladntext"/>
        <w:tabs>
          <w:tab w:val="num" w:pos="480"/>
        </w:tabs>
        <w:ind w:left="480" w:hanging="480"/>
        <w:rPr>
          <w:rFonts w:ascii="Arial" w:hAnsi="Arial" w:cs="Arial"/>
          <w:b w:val="0"/>
          <w:bCs w:val="0"/>
          <w:sz w:val="20"/>
          <w:szCs w:val="20"/>
        </w:rPr>
      </w:pPr>
    </w:p>
    <w:p w:rsidR="001104E0" w:rsidRDefault="001104E0" w:rsidP="001104E0">
      <w:pPr>
        <w:pStyle w:val="Zkladntext"/>
        <w:numPr>
          <w:ilvl w:val="1"/>
          <w:numId w:val="0"/>
        </w:numPr>
        <w:tabs>
          <w:tab w:val="num" w:pos="705"/>
        </w:tabs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1104E0" w:rsidRDefault="001104E0" w:rsidP="001104E0">
      <w:pPr>
        <w:pStyle w:val="Zkladntext"/>
        <w:numPr>
          <w:ilvl w:val="1"/>
          <w:numId w:val="0"/>
        </w:numPr>
        <w:tabs>
          <w:tab w:val="num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uskutočňovaní jednotlivých aktivít, spolupracuje združenie najmä : </w:t>
      </w:r>
    </w:p>
    <w:p w:rsidR="001104E0" w:rsidRDefault="001104E0" w:rsidP="001104E0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s mestom Banská Bystrica a obcami okresu Banská Bystrica, s mestom Kremnica, s miestnymi a regionálnymi orgánmi a organizáciami, s orgánmi verejnej správy a mimovládnymi organizáciami, ktoré sú zamerané na životné prostredie, podporu regionálneho rozvoja, cestovného ruchu, vzdelávania a iné</w:t>
      </w:r>
    </w:p>
    <w:p w:rsidR="001104E0" w:rsidRDefault="001104E0" w:rsidP="001104E0">
      <w:pPr>
        <w:jc w:val="both"/>
        <w:rPr>
          <w:rFonts w:ascii="Arial" w:hAnsi="Arial" w:cs="Arial"/>
        </w:rPr>
      </w:pPr>
    </w:p>
    <w:p w:rsidR="001104E0" w:rsidRDefault="001104E0" w:rsidP="001104E0">
      <w:pPr>
        <w:pStyle w:val="Predformtovan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poslednom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Zhromaždení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členov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zasadnutí</w:t>
      </w:r>
      <w:proofErr w:type="spellEnd"/>
      <w:r>
        <w:rPr>
          <w:rFonts w:ascii="Arial" w:hAnsi="Arial" w:cs="Arial"/>
        </w:rPr>
        <w:t xml:space="preserve"> SR BBGMP </w:t>
      </w:r>
      <w:proofErr w:type="gramStart"/>
      <w:r>
        <w:rPr>
          <w:rFonts w:ascii="Arial" w:hAnsi="Arial" w:cs="Arial"/>
        </w:rPr>
        <w:t>10.6. 2010</w:t>
      </w:r>
      <w:proofErr w:type="gramEnd"/>
      <w:r>
        <w:rPr>
          <w:rFonts w:ascii="Arial" w:hAnsi="Arial" w:cs="Arial"/>
        </w:rPr>
        <w:t xml:space="preserve"> bola </w:t>
      </w:r>
      <w:proofErr w:type="spellStart"/>
      <w:r>
        <w:rPr>
          <w:rFonts w:ascii="Arial" w:hAnsi="Arial" w:cs="Arial"/>
        </w:rPr>
        <w:t>potvrdená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Správna</w:t>
      </w:r>
      <w:proofErr w:type="spellEnd"/>
      <w:r>
        <w:rPr>
          <w:rFonts w:ascii="Arial" w:hAnsi="Arial" w:cs="Arial"/>
        </w:rPr>
        <w:t xml:space="preserve"> rada OZ v </w:t>
      </w:r>
      <w:proofErr w:type="spellStart"/>
      <w:r>
        <w:rPr>
          <w:rFonts w:ascii="Arial" w:hAnsi="Arial" w:cs="Arial"/>
        </w:rPr>
        <w:t>obsadení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Patúš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Kavčáková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Zázrivcová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Gender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Svitaňová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Krajčíová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Chocholová</w:t>
      </w:r>
      <w:proofErr w:type="spellEnd"/>
      <w:r>
        <w:rPr>
          <w:rFonts w:ascii="Arial" w:hAnsi="Arial" w:cs="Arial"/>
        </w:rPr>
        <w:t xml:space="preserve">, Pyšný, </w:t>
      </w:r>
      <w:proofErr w:type="spellStart"/>
      <w:r>
        <w:rPr>
          <w:rFonts w:ascii="Arial" w:hAnsi="Arial" w:cs="Arial"/>
        </w:rPr>
        <w:t>Lakomčík</w:t>
      </w:r>
      <w:proofErr w:type="spellEnd"/>
      <w:r>
        <w:rPr>
          <w:rFonts w:ascii="Arial" w:hAnsi="Arial" w:cs="Arial"/>
        </w:rPr>
        <w:t xml:space="preserve"> a Kasa, </w:t>
      </w:r>
      <w:proofErr w:type="spellStart"/>
      <w:r>
        <w:rPr>
          <w:rFonts w:ascii="Arial" w:hAnsi="Arial" w:cs="Arial"/>
        </w:rPr>
        <w:t>Zibrín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Vigaš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dozorná rada. </w:t>
      </w:r>
      <w:proofErr w:type="spellStart"/>
      <w:r>
        <w:rPr>
          <w:rFonts w:ascii="Arial" w:hAnsi="Arial" w:cs="Arial"/>
        </w:rPr>
        <w:t>Správna</w:t>
      </w:r>
      <w:proofErr w:type="spellEnd"/>
      <w:r>
        <w:rPr>
          <w:rFonts w:ascii="Arial" w:hAnsi="Arial" w:cs="Arial"/>
        </w:rPr>
        <w:t xml:space="preserve"> rada </w:t>
      </w:r>
      <w:proofErr w:type="spellStart"/>
      <w:r>
        <w:rPr>
          <w:rFonts w:ascii="Arial" w:hAnsi="Arial" w:cs="Arial"/>
        </w:rPr>
        <w:t>spomedzi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svojich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členov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predsedu</w:t>
      </w:r>
      <w:proofErr w:type="spellEnd"/>
      <w:r>
        <w:rPr>
          <w:rFonts w:ascii="Arial" w:hAnsi="Arial" w:cs="Arial"/>
        </w:rPr>
        <w:t xml:space="preserve"> SR zvolila Ing. Petra </w:t>
      </w:r>
      <w:proofErr w:type="spellStart"/>
      <w:r>
        <w:rPr>
          <w:rFonts w:ascii="Arial" w:hAnsi="Arial" w:cs="Arial"/>
        </w:rPr>
        <w:t>Lakomčíka</w:t>
      </w:r>
      <w:proofErr w:type="spellEnd"/>
      <w:r>
        <w:rPr>
          <w:rFonts w:ascii="Arial" w:hAnsi="Arial" w:cs="Arial"/>
        </w:rPr>
        <w:t xml:space="preserve"> a za </w:t>
      </w:r>
      <w:proofErr w:type="spellStart"/>
      <w:r>
        <w:rPr>
          <w:rFonts w:ascii="Arial" w:hAnsi="Arial" w:cs="Arial"/>
        </w:rPr>
        <w:t>riaditeľku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združenia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vymenovala</w:t>
      </w:r>
      <w:proofErr w:type="spellEnd"/>
      <w:r>
        <w:rPr>
          <w:rFonts w:ascii="Arial" w:hAnsi="Arial" w:cs="Arial"/>
        </w:rPr>
        <w:t xml:space="preserve"> Ing. arch. Ivetu </w:t>
      </w:r>
      <w:proofErr w:type="spellStart"/>
      <w:r>
        <w:rPr>
          <w:rFonts w:ascii="Arial" w:hAnsi="Arial" w:cs="Arial"/>
        </w:rPr>
        <w:t>Kavčákovú</w:t>
      </w:r>
      <w:proofErr w:type="spellEnd"/>
      <w:r>
        <w:rPr>
          <w:rFonts w:ascii="Arial" w:hAnsi="Arial" w:cs="Arial"/>
        </w:rPr>
        <w:t xml:space="preserve">. V roku 2009 </w:t>
      </w:r>
      <w:proofErr w:type="spellStart"/>
      <w:r>
        <w:rPr>
          <w:rFonts w:ascii="Arial" w:hAnsi="Arial" w:cs="Arial"/>
        </w:rPr>
        <w:t>pristúpili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partnerstva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ďaľšie</w:t>
      </w:r>
      <w:proofErr w:type="spellEnd"/>
      <w:r>
        <w:rPr>
          <w:rFonts w:ascii="Arial" w:hAnsi="Arial" w:cs="Arial"/>
        </w:rPr>
        <w:t xml:space="preserve"> subjekty </w:t>
      </w:r>
      <w:proofErr w:type="spellStart"/>
      <w:r>
        <w:rPr>
          <w:rFonts w:ascii="Arial" w:hAnsi="Arial" w:cs="Arial"/>
        </w:rPr>
        <w:t>verejného</w:t>
      </w:r>
      <w:proofErr w:type="spellEnd"/>
      <w:r>
        <w:rPr>
          <w:rFonts w:ascii="Arial" w:hAnsi="Arial" w:cs="Arial"/>
        </w:rPr>
        <w:t xml:space="preserve"> a skromného </w:t>
      </w:r>
      <w:proofErr w:type="spellStart"/>
      <w:r>
        <w:rPr>
          <w:rFonts w:ascii="Arial" w:hAnsi="Arial" w:cs="Arial"/>
        </w:rPr>
        <w:t>sektora</w:t>
      </w:r>
      <w:proofErr w:type="spellEnd"/>
      <w:r>
        <w:rPr>
          <w:rFonts w:ascii="Arial" w:hAnsi="Arial" w:cs="Arial"/>
        </w:rPr>
        <w:t xml:space="preserve">. Ku </w:t>
      </w:r>
      <w:proofErr w:type="spellStart"/>
      <w:r>
        <w:rPr>
          <w:rFonts w:ascii="Arial" w:hAnsi="Arial" w:cs="Arial"/>
        </w:rPr>
        <w:t>koncu</w:t>
      </w:r>
      <w:proofErr w:type="spellEnd"/>
      <w:r>
        <w:rPr>
          <w:rFonts w:ascii="Arial" w:hAnsi="Arial" w:cs="Arial"/>
        </w:rPr>
        <w:t xml:space="preserve"> roka 2010 má OZ charakter </w:t>
      </w:r>
      <w:proofErr w:type="spellStart"/>
      <w:r>
        <w:rPr>
          <w:rFonts w:ascii="Arial" w:hAnsi="Arial" w:cs="Arial"/>
        </w:rPr>
        <w:t>verejno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súkromného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partnerstva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ktoré</w:t>
      </w:r>
      <w:proofErr w:type="spellEnd"/>
      <w:r>
        <w:rPr>
          <w:rFonts w:ascii="Arial" w:hAnsi="Arial" w:cs="Arial"/>
        </w:rPr>
        <w:t xml:space="preserve"> má 15 fyzických </w:t>
      </w:r>
      <w:proofErr w:type="spellStart"/>
      <w:r>
        <w:rPr>
          <w:rFonts w:ascii="Arial" w:hAnsi="Arial" w:cs="Arial"/>
        </w:rPr>
        <w:t>osôb</w:t>
      </w:r>
      <w:proofErr w:type="spellEnd"/>
      <w:r>
        <w:rPr>
          <w:rFonts w:ascii="Arial" w:hAnsi="Arial" w:cs="Arial"/>
        </w:rPr>
        <w:t xml:space="preserve"> a 32 právnických </w:t>
      </w:r>
      <w:proofErr w:type="spellStart"/>
      <w:r>
        <w:rPr>
          <w:rFonts w:ascii="Arial" w:hAnsi="Arial" w:cs="Arial"/>
        </w:rPr>
        <w:t>osôb</w:t>
      </w:r>
      <w:proofErr w:type="spellEnd"/>
      <w:r>
        <w:rPr>
          <w:rFonts w:ascii="Arial" w:hAnsi="Arial" w:cs="Arial"/>
        </w:rPr>
        <w:t xml:space="preserve"> z </w:t>
      </w:r>
      <w:proofErr w:type="spellStart"/>
      <w:r>
        <w:rPr>
          <w:rFonts w:ascii="Arial" w:hAnsi="Arial" w:cs="Arial"/>
        </w:rPr>
        <w:t>územia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miest</w:t>
      </w:r>
      <w:proofErr w:type="spellEnd"/>
      <w:r>
        <w:rPr>
          <w:rFonts w:ascii="Arial" w:hAnsi="Arial" w:cs="Arial"/>
        </w:rPr>
        <w:t xml:space="preserve"> Banská Bystrica a Kremnica, a 28 obcí okresu Banská Bystrica (</w:t>
      </w:r>
      <w:proofErr w:type="spellStart"/>
      <w:r>
        <w:rPr>
          <w:rFonts w:ascii="Arial" w:hAnsi="Arial" w:cs="Arial"/>
        </w:rPr>
        <w:t>mikroregióny</w:t>
      </w:r>
      <w:proofErr w:type="spellEnd"/>
      <w:r>
        <w:rPr>
          <w:rFonts w:ascii="Arial" w:hAnsi="Arial" w:cs="Arial"/>
        </w:rPr>
        <w:t xml:space="preserve"> RENTAR, Kremnické </w:t>
      </w:r>
      <w:proofErr w:type="gramStart"/>
      <w:r>
        <w:rPr>
          <w:rFonts w:ascii="Arial" w:hAnsi="Arial" w:cs="Arial"/>
        </w:rPr>
        <w:t>vrchy –východ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Starohorská</w:t>
      </w:r>
      <w:proofErr w:type="spellEnd"/>
      <w:r>
        <w:rPr>
          <w:rFonts w:ascii="Arial" w:hAnsi="Arial" w:cs="Arial"/>
        </w:rPr>
        <w:t xml:space="preserve"> dolina, Pod Panským </w:t>
      </w:r>
      <w:proofErr w:type="spellStart"/>
      <w:r>
        <w:rPr>
          <w:rFonts w:ascii="Arial" w:hAnsi="Arial" w:cs="Arial"/>
        </w:rPr>
        <w:t>Dielom</w:t>
      </w:r>
      <w:proofErr w:type="spellEnd"/>
      <w:r>
        <w:rPr>
          <w:rFonts w:ascii="Arial" w:hAnsi="Arial" w:cs="Arial"/>
        </w:rPr>
        <w:t xml:space="preserve">, a  obec </w:t>
      </w:r>
      <w:proofErr w:type="spellStart"/>
      <w:r>
        <w:rPr>
          <w:rFonts w:ascii="Arial" w:hAnsi="Arial" w:cs="Arial"/>
        </w:rPr>
        <w:t>Poniky</w:t>
      </w:r>
      <w:proofErr w:type="spellEnd"/>
      <w:r>
        <w:rPr>
          <w:rFonts w:ascii="Arial" w:hAnsi="Arial" w:cs="Arial"/>
        </w:rPr>
        <w:t>.</w:t>
      </w:r>
    </w:p>
    <w:p w:rsidR="001104E0" w:rsidRDefault="001104E0" w:rsidP="001104E0">
      <w:pPr>
        <w:pStyle w:val="PredformtovanHTML"/>
        <w:jc w:val="both"/>
      </w:pPr>
    </w:p>
    <w:p w:rsidR="001104E0" w:rsidRPr="00843E5D" w:rsidRDefault="001104E0" w:rsidP="001104E0">
      <w:pPr>
        <w:rPr>
          <w:rFonts w:ascii="Arial" w:hAnsi="Arial" w:cs="Arial"/>
          <w:b/>
        </w:rPr>
      </w:pPr>
      <w:r w:rsidRPr="00843E5D">
        <w:rPr>
          <w:rFonts w:ascii="Arial" w:hAnsi="Arial" w:cs="Arial"/>
          <w:b/>
        </w:rPr>
        <w:t>Ku dňu 31.12.2010 OZ eviduje celkom 47 členov a eviduje 23 partnerských zmlúv.</w:t>
      </w:r>
    </w:p>
    <w:p w:rsidR="001104E0" w:rsidRDefault="001104E0" w:rsidP="001104E0">
      <w:pPr>
        <w:pStyle w:val="PredformtovanHTML"/>
        <w:jc w:val="both"/>
        <w:rPr>
          <w:rFonts w:ascii="Arial" w:hAnsi="Arial" w:cs="Arial"/>
          <w:lang w:val="sk-SK"/>
        </w:rPr>
      </w:pPr>
    </w:p>
    <w:p w:rsidR="001104E0" w:rsidRDefault="001104E0" w:rsidP="001104E0">
      <w:pPr>
        <w:pStyle w:val="PredformtovanHTML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lastRenderedPageBreak/>
        <w:t>Správna</w:t>
      </w:r>
      <w:proofErr w:type="spellEnd"/>
      <w:r>
        <w:rPr>
          <w:rFonts w:ascii="Arial" w:hAnsi="Arial" w:cs="Arial"/>
          <w:b/>
          <w:bCs/>
        </w:rPr>
        <w:t xml:space="preserve"> rada v roku 2010 </w:t>
      </w:r>
      <w:proofErr w:type="spellStart"/>
      <w:r>
        <w:rPr>
          <w:rFonts w:ascii="Arial" w:hAnsi="Arial" w:cs="Arial"/>
          <w:b/>
          <w:bCs/>
        </w:rPr>
        <w:t>zasadala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celkom</w:t>
      </w:r>
      <w:proofErr w:type="spellEnd"/>
      <w:r>
        <w:rPr>
          <w:rFonts w:ascii="Arial" w:hAnsi="Arial" w:cs="Arial"/>
          <w:b/>
          <w:bCs/>
        </w:rPr>
        <w:t xml:space="preserve"> 4x </w:t>
      </w:r>
      <w:proofErr w:type="spellStart"/>
      <w:r>
        <w:rPr>
          <w:rFonts w:ascii="Arial" w:hAnsi="Arial" w:cs="Arial"/>
          <w:b/>
          <w:bCs/>
        </w:rPr>
        <w:t>nasledovne</w:t>
      </w:r>
      <w:proofErr w:type="spellEnd"/>
      <w:r>
        <w:rPr>
          <w:rFonts w:ascii="Arial" w:hAnsi="Arial" w:cs="Arial"/>
          <w:b/>
          <w:bCs/>
        </w:rPr>
        <w:t>:</w:t>
      </w:r>
    </w:p>
    <w:p w:rsidR="001104E0" w:rsidRPr="00A63FC4" w:rsidRDefault="001104E0" w:rsidP="001104E0">
      <w:pPr>
        <w:rPr>
          <w:b/>
        </w:rPr>
      </w:pPr>
      <w:r>
        <w:rPr>
          <w:rFonts w:ascii="Arial" w:hAnsi="Arial" w:cs="Arial"/>
        </w:rPr>
        <w:t>18.3.2010      (Strelníky)</w:t>
      </w:r>
      <w:r>
        <w:rPr>
          <w:rFonts w:ascii="Arial" w:hAnsi="Arial" w:cs="Arial"/>
        </w:rPr>
        <w:br/>
        <w:t xml:space="preserve">10.6.2010      (Slovenská </w:t>
      </w:r>
      <w:proofErr w:type="spellStart"/>
      <w:r>
        <w:rPr>
          <w:rFonts w:ascii="Arial" w:hAnsi="Arial" w:cs="Arial"/>
        </w:rPr>
        <w:t>Ľupča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  <w:t>13.10.2010    (Banská Bystrica)</w:t>
      </w:r>
      <w:r>
        <w:rPr>
          <w:rFonts w:ascii="Arial" w:hAnsi="Arial" w:cs="Arial"/>
        </w:rPr>
        <w:br/>
        <w:t>22.12.2009    (Banská Bystrica)</w:t>
      </w:r>
      <w:r>
        <w:rPr>
          <w:rFonts w:ascii="Arial" w:hAnsi="Arial" w:cs="Arial"/>
        </w:rPr>
        <w:br/>
      </w:r>
      <w:r w:rsidRPr="00A63FC4">
        <w:rPr>
          <w:rFonts w:ascii="Arial" w:hAnsi="Arial" w:cs="Arial"/>
          <w:b/>
        </w:rPr>
        <w:t xml:space="preserve">Účasť členov SR: </w:t>
      </w:r>
      <w:r w:rsidRPr="00A63FC4">
        <w:rPr>
          <w:rFonts w:ascii="Arial" w:hAnsi="Arial" w:cs="Arial"/>
        </w:rPr>
        <w:t>Kavčáková</w:t>
      </w:r>
      <w:r>
        <w:rPr>
          <w:rFonts w:ascii="Arial" w:hAnsi="Arial" w:cs="Arial"/>
        </w:rPr>
        <w:t>-</w:t>
      </w:r>
      <w:r w:rsidRPr="00A63FC4">
        <w:rPr>
          <w:rFonts w:ascii="Arial" w:hAnsi="Arial" w:cs="Arial"/>
          <w:b/>
        </w:rPr>
        <w:t xml:space="preserve"> 4x, </w:t>
      </w:r>
      <w:r w:rsidRPr="00A63FC4">
        <w:rPr>
          <w:rFonts w:ascii="Arial" w:hAnsi="Arial" w:cs="Arial"/>
        </w:rPr>
        <w:t>Pyšný</w:t>
      </w:r>
      <w:r>
        <w:rPr>
          <w:rFonts w:ascii="Arial" w:hAnsi="Arial" w:cs="Arial"/>
        </w:rPr>
        <w:t>-</w:t>
      </w:r>
      <w:r w:rsidRPr="00A63FC4">
        <w:rPr>
          <w:rFonts w:ascii="Arial" w:hAnsi="Arial" w:cs="Arial"/>
          <w:b/>
        </w:rPr>
        <w:t xml:space="preserve"> 4x, </w:t>
      </w:r>
      <w:proofErr w:type="spellStart"/>
      <w:r w:rsidRPr="00A63FC4">
        <w:rPr>
          <w:rFonts w:ascii="Arial" w:hAnsi="Arial" w:cs="Arial"/>
        </w:rPr>
        <w:t>Patúš</w:t>
      </w:r>
      <w:proofErr w:type="spellEnd"/>
      <w:r w:rsidRPr="00A63FC4">
        <w:rPr>
          <w:rFonts w:ascii="Arial" w:hAnsi="Arial" w:cs="Arial"/>
        </w:rPr>
        <w:t>-</w:t>
      </w:r>
      <w:r w:rsidRPr="00A63FC4">
        <w:rPr>
          <w:rFonts w:ascii="Arial" w:hAnsi="Arial" w:cs="Arial"/>
          <w:b/>
        </w:rPr>
        <w:t xml:space="preserve"> 3x, </w:t>
      </w:r>
      <w:r w:rsidRPr="00A63FC4">
        <w:rPr>
          <w:rFonts w:ascii="Arial" w:hAnsi="Arial" w:cs="Arial"/>
        </w:rPr>
        <w:t>Gender</w:t>
      </w:r>
      <w:r>
        <w:rPr>
          <w:rFonts w:ascii="Arial" w:hAnsi="Arial" w:cs="Arial"/>
        </w:rPr>
        <w:t>-</w:t>
      </w:r>
      <w:r w:rsidRPr="00A63FC4">
        <w:rPr>
          <w:rFonts w:ascii="Arial" w:hAnsi="Arial" w:cs="Arial"/>
          <w:b/>
        </w:rPr>
        <w:t xml:space="preserve"> 4x, </w:t>
      </w:r>
      <w:proofErr w:type="spellStart"/>
      <w:r w:rsidRPr="00A63FC4">
        <w:rPr>
          <w:rFonts w:ascii="Arial" w:hAnsi="Arial" w:cs="Arial"/>
        </w:rPr>
        <w:t>Svitaňová</w:t>
      </w:r>
      <w:proofErr w:type="spellEnd"/>
      <w:r w:rsidRPr="00A63FC4">
        <w:rPr>
          <w:rFonts w:ascii="Arial" w:hAnsi="Arial" w:cs="Arial"/>
        </w:rPr>
        <w:t xml:space="preserve"> –Krajčíová</w:t>
      </w:r>
      <w:r>
        <w:rPr>
          <w:rFonts w:ascii="Arial" w:hAnsi="Arial" w:cs="Arial"/>
        </w:rPr>
        <w:t>-</w:t>
      </w:r>
      <w:r w:rsidRPr="00A63FC4">
        <w:rPr>
          <w:rFonts w:ascii="Arial" w:hAnsi="Arial" w:cs="Arial"/>
          <w:b/>
        </w:rPr>
        <w:t xml:space="preserve"> 0x, </w:t>
      </w:r>
      <w:proofErr w:type="spellStart"/>
      <w:r w:rsidRPr="00A63FC4">
        <w:rPr>
          <w:rFonts w:ascii="Arial" w:hAnsi="Arial" w:cs="Arial"/>
        </w:rPr>
        <w:t>Chocholová</w:t>
      </w:r>
      <w:proofErr w:type="spellEnd"/>
      <w:r>
        <w:rPr>
          <w:rFonts w:ascii="Arial" w:hAnsi="Arial" w:cs="Arial"/>
        </w:rPr>
        <w:t>-</w:t>
      </w:r>
      <w:r w:rsidRPr="00A63FC4">
        <w:rPr>
          <w:rFonts w:ascii="Arial" w:hAnsi="Arial" w:cs="Arial"/>
          <w:b/>
        </w:rPr>
        <w:t xml:space="preserve"> 3x, </w:t>
      </w:r>
      <w:proofErr w:type="spellStart"/>
      <w:r w:rsidRPr="00A63FC4">
        <w:rPr>
          <w:rFonts w:ascii="Arial" w:hAnsi="Arial" w:cs="Arial"/>
        </w:rPr>
        <w:t>Zibrin</w:t>
      </w:r>
      <w:proofErr w:type="spellEnd"/>
      <w:r>
        <w:rPr>
          <w:rFonts w:ascii="Arial" w:hAnsi="Arial" w:cs="Arial"/>
        </w:rPr>
        <w:t>-</w:t>
      </w:r>
      <w:r w:rsidRPr="00A63FC4">
        <w:rPr>
          <w:rFonts w:ascii="Arial" w:hAnsi="Arial" w:cs="Arial"/>
          <w:b/>
        </w:rPr>
        <w:t xml:space="preserve"> 4x, </w:t>
      </w:r>
      <w:r w:rsidRPr="00A63FC4">
        <w:rPr>
          <w:rFonts w:ascii="Arial" w:hAnsi="Arial" w:cs="Arial"/>
        </w:rPr>
        <w:t>Lakomčík</w:t>
      </w:r>
      <w:r>
        <w:rPr>
          <w:rFonts w:ascii="Arial" w:hAnsi="Arial" w:cs="Arial"/>
        </w:rPr>
        <w:t>-</w:t>
      </w:r>
      <w:r w:rsidRPr="00A63F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 w:rsidRPr="00A63FC4">
        <w:rPr>
          <w:rFonts w:ascii="Arial" w:hAnsi="Arial" w:cs="Arial"/>
          <w:b/>
        </w:rPr>
        <w:t xml:space="preserve">x, </w:t>
      </w:r>
      <w:proofErr w:type="spellStart"/>
      <w:r w:rsidRPr="00A63FC4">
        <w:rPr>
          <w:rFonts w:ascii="Arial" w:hAnsi="Arial" w:cs="Arial"/>
        </w:rPr>
        <w:t>Vigaš</w:t>
      </w:r>
      <w:proofErr w:type="spellEnd"/>
      <w:r>
        <w:rPr>
          <w:rFonts w:ascii="Arial" w:hAnsi="Arial" w:cs="Arial"/>
        </w:rPr>
        <w:t>-</w:t>
      </w:r>
      <w:r w:rsidRPr="00A63FC4">
        <w:rPr>
          <w:rFonts w:ascii="Arial" w:hAnsi="Arial" w:cs="Arial"/>
          <w:b/>
        </w:rPr>
        <w:t xml:space="preserve"> 2x, </w:t>
      </w:r>
      <w:r w:rsidRPr="00A63FC4">
        <w:rPr>
          <w:rFonts w:ascii="Arial" w:hAnsi="Arial" w:cs="Arial"/>
        </w:rPr>
        <w:t>Kasa</w:t>
      </w:r>
      <w:r>
        <w:rPr>
          <w:rFonts w:ascii="Arial" w:hAnsi="Arial" w:cs="Arial"/>
        </w:rPr>
        <w:t>-</w:t>
      </w:r>
      <w:r w:rsidRPr="00A63FC4">
        <w:rPr>
          <w:rFonts w:ascii="Arial" w:hAnsi="Arial" w:cs="Arial"/>
        </w:rPr>
        <w:t xml:space="preserve"> </w:t>
      </w:r>
      <w:r w:rsidRPr="00A63FC4">
        <w:rPr>
          <w:rFonts w:ascii="Arial" w:hAnsi="Arial" w:cs="Arial"/>
          <w:b/>
        </w:rPr>
        <w:t xml:space="preserve">2x, </w:t>
      </w:r>
      <w:proofErr w:type="spellStart"/>
      <w:r w:rsidRPr="00A63FC4">
        <w:rPr>
          <w:rFonts w:ascii="Arial" w:hAnsi="Arial" w:cs="Arial"/>
        </w:rPr>
        <w:t>Zázrivcová</w:t>
      </w:r>
      <w:proofErr w:type="spellEnd"/>
      <w:r>
        <w:rPr>
          <w:rFonts w:ascii="Arial" w:hAnsi="Arial" w:cs="Arial"/>
        </w:rPr>
        <w:t>-</w:t>
      </w:r>
      <w:r w:rsidRPr="00A63FC4">
        <w:rPr>
          <w:rFonts w:ascii="Arial" w:hAnsi="Arial" w:cs="Arial"/>
          <w:b/>
        </w:rPr>
        <w:t xml:space="preserve"> 2x</w:t>
      </w:r>
    </w:p>
    <w:p w:rsidR="001104E0" w:rsidRDefault="001104E0" w:rsidP="001104E0">
      <w:pPr>
        <w:jc w:val="both"/>
        <w:rPr>
          <w:rFonts w:ascii="Arial" w:hAnsi="Arial" w:cs="Arial"/>
        </w:rPr>
      </w:pPr>
    </w:p>
    <w:p w:rsidR="001104E0" w:rsidRDefault="001104E0" w:rsidP="001104E0">
      <w:pPr>
        <w:jc w:val="both"/>
        <w:rPr>
          <w:rFonts w:ascii="Arial" w:hAnsi="Arial" w:cs="Arial"/>
        </w:rPr>
      </w:pPr>
    </w:p>
    <w:p w:rsidR="001104E0" w:rsidRDefault="001104E0" w:rsidP="001104E0">
      <w:pPr>
        <w:pStyle w:val="Nadpis9"/>
      </w:pPr>
      <w:r>
        <w:t xml:space="preserve">Informácie o stretnutiach Správnej rady OZ </w:t>
      </w:r>
    </w:p>
    <w:p w:rsidR="001104E0" w:rsidRDefault="001104E0" w:rsidP="001104E0">
      <w:pPr>
        <w:rPr>
          <w:rFonts w:ascii="Arial" w:hAnsi="Arial" w:cs="Arial"/>
          <w:b/>
          <w:bCs/>
        </w:rPr>
      </w:pPr>
    </w:p>
    <w:p w:rsidR="001104E0" w:rsidRDefault="001104E0" w:rsidP="001104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SR v Strelníkoch</w:t>
      </w:r>
    </w:p>
    <w:p w:rsidR="001104E0" w:rsidRDefault="001104E0" w:rsidP="001104E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Stretnutie bolo spojené s doplnkovým školiacim programom zamerané na dve prioritné témy: 1. Prezentácia výsledkov práce vo vidieckom cestovnom ruchu v Strelníkoch a 2. Informácia o projekte LEADER. Celým stretnutím sprevádzal </w:t>
      </w:r>
      <w:proofErr w:type="spellStart"/>
      <w:r>
        <w:rPr>
          <w:rFonts w:ascii="Arial" w:hAnsi="Arial" w:cs="Arial"/>
        </w:rPr>
        <w:t>Jirko</w:t>
      </w:r>
      <w:proofErr w:type="spellEnd"/>
      <w:r>
        <w:rPr>
          <w:rFonts w:ascii="Arial" w:hAnsi="Arial" w:cs="Arial"/>
        </w:rPr>
        <w:t xml:space="preserve"> Vlček s manželkou Evou, ktorí prevádzkujú rekreačné zariadenie SKIOS SKI Strelníky. Prítomní konštatovali náročné podmienky podnikania na vidieku BB </w:t>
      </w:r>
      <w:proofErr w:type="spellStart"/>
      <w:r>
        <w:rPr>
          <w:rFonts w:ascii="Arial" w:hAnsi="Arial" w:cs="Arial"/>
        </w:rPr>
        <w:t>regionu</w:t>
      </w:r>
      <w:proofErr w:type="spellEnd"/>
      <w:r>
        <w:rPr>
          <w:rFonts w:ascii="Arial" w:hAnsi="Arial" w:cs="Arial"/>
        </w:rPr>
        <w:t xml:space="preserve">, pretože chýba cielená podpora z úrovne národnej aj regionálnej politiky. Súčasne ocenili prácu člena BBGMP SKIOS SKI Strelníky a zaželali úspechy. Na stretnutí prebehla informácia o neúspechu projektu „Integrovaná stratégia rozvoja územia Banskobystrický </w:t>
      </w:r>
      <w:proofErr w:type="spellStart"/>
      <w:r>
        <w:rPr>
          <w:rFonts w:ascii="Arial" w:hAnsi="Arial" w:cs="Arial"/>
        </w:rPr>
        <w:t>geopark</w:t>
      </w:r>
      <w:proofErr w:type="spellEnd"/>
      <w:r>
        <w:rPr>
          <w:rFonts w:ascii="Arial" w:hAnsi="Arial" w:cs="Arial"/>
        </w:rPr>
        <w:t xml:space="preserve">“ (skr. ISRÚ BBG)na podporu rozvoja 28 obcí prístupom LEADER. Bolo konštatované, že projekt bol vysoko hodnotený avšak pre nedostatok financií bol neúspešný. Za BB kraj mohli postúpiť len 2 MAS. Prítomní sa dohodli, že združenie naďalej pracuje v pôvodnom smerovaní budovania BB </w:t>
      </w:r>
      <w:proofErr w:type="spellStart"/>
      <w:r>
        <w:rPr>
          <w:rFonts w:ascii="Arial" w:hAnsi="Arial" w:cs="Arial"/>
        </w:rPr>
        <w:t>geoparku</w:t>
      </w:r>
      <w:proofErr w:type="spellEnd"/>
      <w:r>
        <w:rPr>
          <w:rFonts w:ascii="Arial" w:hAnsi="Arial" w:cs="Arial"/>
        </w:rPr>
        <w:t xml:space="preserve"> ako </w:t>
      </w:r>
      <w:proofErr w:type="spellStart"/>
      <w:r>
        <w:rPr>
          <w:rFonts w:ascii="Arial" w:hAnsi="Arial" w:cs="Arial"/>
        </w:rPr>
        <w:t>verejnosúkromné</w:t>
      </w:r>
      <w:proofErr w:type="spellEnd"/>
      <w:r>
        <w:rPr>
          <w:rFonts w:ascii="Arial" w:hAnsi="Arial" w:cs="Arial"/>
        </w:rPr>
        <w:t xml:space="preserve"> partnerstvo bez ohľadu na nezaradenie do Miestnych akčných skupín z úrovne MP SR. Bolo vyjadrené sklamanie, pretože boli úspešné MAS z iných krajov, kde pripravenosť nebola ani zďaleka porovnateľná s BBGMP. Napriek tomu bola vyjadrená spokojnosť s realizáciou projektu na prípravu ISRÚ BBG ako aj realizáciou projektu z </w:t>
      </w:r>
      <w:proofErr w:type="spellStart"/>
      <w:r>
        <w:rPr>
          <w:rFonts w:ascii="Arial" w:hAnsi="Arial" w:cs="Arial"/>
        </w:rPr>
        <w:t>Enviromentálneho</w:t>
      </w:r>
      <w:proofErr w:type="spellEnd"/>
      <w:r>
        <w:rPr>
          <w:rFonts w:ascii="Arial" w:hAnsi="Arial" w:cs="Arial"/>
        </w:rPr>
        <w:t xml:space="preserve"> fondu, ktorý skončil v decembri 2009. V Strelníkoch sa rozhodlo o prevzatí garancie časopisu Bystrický </w:t>
      </w:r>
      <w:proofErr w:type="spellStart"/>
      <w:r>
        <w:rPr>
          <w:rFonts w:ascii="Arial" w:hAnsi="Arial" w:cs="Arial"/>
        </w:rPr>
        <w:t>Permon</w:t>
      </w:r>
      <w:proofErr w:type="spellEnd"/>
      <w:r>
        <w:rPr>
          <w:rFonts w:ascii="Arial" w:hAnsi="Arial" w:cs="Arial"/>
        </w:rPr>
        <w:t xml:space="preserve"> od združenia </w:t>
      </w:r>
      <w:proofErr w:type="spellStart"/>
      <w:r>
        <w:rPr>
          <w:rFonts w:ascii="Arial" w:hAnsi="Arial" w:cs="Arial"/>
        </w:rPr>
        <w:t>Bystricienzis</w:t>
      </w:r>
      <w:proofErr w:type="spellEnd"/>
      <w:r>
        <w:rPr>
          <w:rFonts w:ascii="Arial" w:hAnsi="Arial" w:cs="Arial"/>
        </w:rPr>
        <w:t xml:space="preserve">. Bolo tiež rozhodnuté aby </w:t>
      </w:r>
      <w:r w:rsidRPr="00CA68BC">
        <w:rPr>
          <w:rFonts w:ascii="Arial" w:hAnsi="Arial" w:cs="Arial"/>
        </w:rPr>
        <w:t>BBGMP pripravilo 2 kľúčové regionálne projekty</w:t>
      </w:r>
      <w:r>
        <w:rPr>
          <w:rFonts w:ascii="Arial" w:hAnsi="Arial" w:cs="Arial"/>
        </w:rPr>
        <w:t xml:space="preserve"> </w:t>
      </w:r>
      <w:r w:rsidRPr="00CA68BC">
        <w:rPr>
          <w:rFonts w:ascii="Arial" w:hAnsi="Arial" w:cs="Arial"/>
        </w:rPr>
        <w:t xml:space="preserve">do ROP Opatrenie 3.2. Podpora a rozvoj infraštruktúry cestovného ruchu  </w:t>
      </w:r>
      <w:r>
        <w:rPr>
          <w:rFonts w:ascii="Arial" w:hAnsi="Arial" w:cs="Arial"/>
        </w:rPr>
        <w:t>ako neinvestičné projekty na rozvoj cestovného ruchu :</w:t>
      </w:r>
    </w:p>
    <w:p w:rsidR="001104E0" w:rsidRDefault="001104E0" w:rsidP="001104E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Prípravu </w:t>
      </w:r>
      <w:proofErr w:type="spellStart"/>
      <w:r>
        <w:rPr>
          <w:rFonts w:ascii="Arial" w:hAnsi="Arial" w:cs="Arial"/>
        </w:rPr>
        <w:t>klastra</w:t>
      </w:r>
      <w:proofErr w:type="spellEnd"/>
      <w:r>
        <w:rPr>
          <w:rFonts w:ascii="Arial" w:hAnsi="Arial" w:cs="Arial"/>
        </w:rPr>
        <w:t xml:space="preserve"> cestovného ruchu  (forma združenia subjektov CR </w:t>
      </w:r>
      <w:proofErr w:type="spellStart"/>
      <w:r>
        <w:rPr>
          <w:rFonts w:ascii="Arial" w:hAnsi="Arial" w:cs="Arial"/>
        </w:rPr>
        <w:t>verej</w:t>
      </w:r>
      <w:proofErr w:type="spellEnd"/>
      <w:r>
        <w:rPr>
          <w:rFonts w:ascii="Arial" w:hAnsi="Arial" w:cs="Arial"/>
        </w:rPr>
        <w:t>. a </w:t>
      </w:r>
      <w:proofErr w:type="spellStart"/>
      <w:r>
        <w:rPr>
          <w:rFonts w:ascii="Arial" w:hAnsi="Arial" w:cs="Arial"/>
        </w:rPr>
        <w:t>súkromn</w:t>
      </w:r>
      <w:proofErr w:type="spellEnd"/>
      <w:r>
        <w:rPr>
          <w:rFonts w:ascii="Arial" w:hAnsi="Arial" w:cs="Arial"/>
        </w:rPr>
        <w:t>. sektora)</w:t>
      </w:r>
    </w:p>
    <w:p w:rsidR="001104E0" w:rsidRDefault="001104E0" w:rsidP="001104E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Prípravu produktu Banskobystrický </w:t>
      </w:r>
      <w:proofErr w:type="spellStart"/>
      <w:r>
        <w:rPr>
          <w:rFonts w:ascii="Arial" w:hAnsi="Arial" w:cs="Arial"/>
        </w:rPr>
        <w:t>geopark</w:t>
      </w:r>
      <w:proofErr w:type="spellEnd"/>
      <w:r>
        <w:rPr>
          <w:rFonts w:ascii="Arial" w:hAnsi="Arial" w:cs="Arial"/>
        </w:rPr>
        <w:t xml:space="preserve"> vrátane propagácie (prípravná dokumentácia na realizáciu náučných chodníkov, skanzenu, múzea, </w:t>
      </w:r>
      <w:proofErr w:type="spellStart"/>
      <w:r>
        <w:rPr>
          <w:rFonts w:ascii="Arial" w:hAnsi="Arial" w:cs="Arial"/>
        </w:rPr>
        <w:t>ai.investícií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geoparku</w:t>
      </w:r>
      <w:proofErr w:type="spellEnd"/>
      <w:r>
        <w:rPr>
          <w:rFonts w:ascii="Arial" w:hAnsi="Arial" w:cs="Arial"/>
        </w:rPr>
        <w:t>)</w:t>
      </w:r>
    </w:p>
    <w:p w:rsidR="001104E0" w:rsidRDefault="001104E0" w:rsidP="001104E0">
      <w:pPr>
        <w:rPr>
          <w:rFonts w:ascii="Arial" w:hAnsi="Arial" w:cs="Arial"/>
        </w:rPr>
      </w:pPr>
    </w:p>
    <w:p w:rsidR="001104E0" w:rsidRDefault="001104E0" w:rsidP="001104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SR v Slovenskej </w:t>
      </w:r>
      <w:proofErr w:type="spellStart"/>
      <w:r>
        <w:rPr>
          <w:rFonts w:ascii="Arial" w:hAnsi="Arial" w:cs="Arial"/>
          <w:b/>
          <w:bCs/>
        </w:rPr>
        <w:t>Ľupči</w:t>
      </w:r>
      <w:proofErr w:type="spellEnd"/>
      <w:r>
        <w:rPr>
          <w:rFonts w:ascii="Arial" w:hAnsi="Arial" w:cs="Arial"/>
          <w:b/>
          <w:bCs/>
        </w:rPr>
        <w:t>.</w:t>
      </w:r>
    </w:p>
    <w:p w:rsidR="001104E0" w:rsidRDefault="001104E0" w:rsidP="001104E0">
      <w:pPr>
        <w:pStyle w:val="Nzov"/>
        <w:jc w:val="left"/>
        <w:rPr>
          <w:rFonts w:ascii="Arial" w:hAnsi="Arial" w:cs="Arial"/>
          <w:b w:val="0"/>
          <w:bCs w:val="0"/>
          <w:caps w:val="0"/>
          <w:sz w:val="20"/>
          <w:szCs w:val="20"/>
        </w:rPr>
      </w:pPr>
      <w:r>
        <w:rPr>
          <w:rFonts w:ascii="Arial" w:hAnsi="Arial" w:cs="Arial"/>
          <w:b w:val="0"/>
          <w:bCs w:val="0"/>
          <w:caps w:val="0"/>
          <w:sz w:val="20"/>
          <w:szCs w:val="20"/>
        </w:rPr>
        <w:t xml:space="preserve">Stretnutie sa uskutočnilo po zhromaždení členov, kde bola potvrdená Správna  a Dozorná rada. Na stretnutí Ing. Kavčáková ponúkla funkciu predsedu Správnej rady Ing. </w:t>
      </w:r>
      <w:proofErr w:type="spellStart"/>
      <w:r>
        <w:rPr>
          <w:rFonts w:ascii="Arial" w:hAnsi="Arial" w:cs="Arial"/>
          <w:b w:val="0"/>
          <w:bCs w:val="0"/>
          <w:caps w:val="0"/>
          <w:sz w:val="20"/>
          <w:szCs w:val="20"/>
        </w:rPr>
        <w:t>Lakomčíkovi</w:t>
      </w:r>
      <w:proofErr w:type="spellEnd"/>
      <w:r>
        <w:rPr>
          <w:rFonts w:ascii="Arial" w:hAnsi="Arial" w:cs="Arial"/>
          <w:b w:val="0"/>
          <w:bCs w:val="0"/>
          <w:caps w:val="0"/>
          <w:sz w:val="20"/>
          <w:szCs w:val="20"/>
        </w:rPr>
        <w:t xml:space="preserve">, ktorý bol aj zvolený členmi SR BBGMP. V zmysle poverenia Zhromaždením členov sa prítomní zaoberali úlohami z uznesenia. Konštatovali, že v združení nastali veľké zmeny v počte členov, čo vyvolali niektoré zmeny. Jednou z nich bolo aj hlasovanie tzv. “Per </w:t>
      </w:r>
      <w:proofErr w:type="spellStart"/>
      <w:r>
        <w:rPr>
          <w:rFonts w:ascii="Arial" w:hAnsi="Arial" w:cs="Arial"/>
          <w:b w:val="0"/>
          <w:bCs w:val="0"/>
          <w:caps w:val="0"/>
          <w:sz w:val="20"/>
          <w:szCs w:val="20"/>
        </w:rPr>
        <w:t>rollam</w:t>
      </w:r>
      <w:proofErr w:type="spellEnd"/>
      <w:r>
        <w:rPr>
          <w:rFonts w:ascii="Arial" w:hAnsi="Arial" w:cs="Arial"/>
          <w:b w:val="0"/>
          <w:bCs w:val="0"/>
          <w:caps w:val="0"/>
          <w:sz w:val="20"/>
          <w:szCs w:val="20"/>
        </w:rPr>
        <w:t>“. Dohodli sa na formuláciách, a že na najbližšom zasadnutí zhromaždenia to bude schválené.</w:t>
      </w:r>
    </w:p>
    <w:p w:rsidR="001104E0" w:rsidRDefault="001104E0" w:rsidP="001104E0">
      <w:pPr>
        <w:pStyle w:val="Nzov"/>
        <w:jc w:val="left"/>
        <w:rPr>
          <w:rFonts w:ascii="Arial" w:hAnsi="Arial" w:cs="Arial"/>
          <w:b w:val="0"/>
          <w:bCs w:val="0"/>
          <w:caps w:val="0"/>
          <w:sz w:val="20"/>
          <w:szCs w:val="20"/>
        </w:rPr>
      </w:pPr>
    </w:p>
    <w:p w:rsidR="001104E0" w:rsidRDefault="001104E0" w:rsidP="001104E0">
      <w:pPr>
        <w:jc w:val="both"/>
        <w:rPr>
          <w:rFonts w:ascii="Arial" w:hAnsi="Arial" w:cs="Arial"/>
        </w:rPr>
      </w:pPr>
    </w:p>
    <w:p w:rsidR="001104E0" w:rsidRDefault="001104E0" w:rsidP="001104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SR v Banskej Bystrici.</w:t>
      </w:r>
    </w:p>
    <w:p w:rsidR="001104E0" w:rsidRPr="00242645" w:rsidRDefault="001104E0" w:rsidP="001104E0">
      <w:pPr>
        <w:pStyle w:val="Predformtovan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Konalo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kancelárii</w:t>
      </w:r>
      <w:proofErr w:type="spellEnd"/>
      <w:r>
        <w:rPr>
          <w:rFonts w:ascii="Arial" w:hAnsi="Arial" w:cs="Arial"/>
        </w:rPr>
        <w:t xml:space="preserve"> Ing. </w:t>
      </w:r>
      <w:proofErr w:type="spellStart"/>
      <w:r>
        <w:rPr>
          <w:rFonts w:ascii="Arial" w:hAnsi="Arial" w:cs="Arial"/>
        </w:rPr>
        <w:t>Kavčákovej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Stretnutie</w:t>
      </w:r>
      <w:proofErr w:type="spellEnd"/>
      <w:r>
        <w:rPr>
          <w:rFonts w:ascii="Arial" w:hAnsi="Arial" w:cs="Arial"/>
        </w:rPr>
        <w:t xml:space="preserve"> bolo </w:t>
      </w:r>
      <w:proofErr w:type="spellStart"/>
      <w:r>
        <w:rPr>
          <w:rFonts w:ascii="Arial" w:hAnsi="Arial" w:cs="Arial"/>
        </w:rPr>
        <w:t>zamerané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aktuálne</w:t>
      </w:r>
      <w:proofErr w:type="spellEnd"/>
      <w:r>
        <w:rPr>
          <w:rFonts w:ascii="Arial" w:hAnsi="Arial" w:cs="Arial"/>
        </w:rPr>
        <w:t xml:space="preserve"> </w:t>
      </w:r>
      <w:r w:rsidRPr="00242645">
        <w:rPr>
          <w:rFonts w:ascii="Arial" w:hAnsi="Arial" w:cs="Arial"/>
          <w:b/>
        </w:rPr>
        <w:t>3 projekty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ktoré</w:t>
      </w:r>
      <w:proofErr w:type="spellEnd"/>
      <w:r>
        <w:rPr>
          <w:rFonts w:ascii="Arial" w:hAnsi="Arial" w:cs="Arial"/>
        </w:rPr>
        <w:t xml:space="preserve"> BBGMP </w:t>
      </w:r>
      <w:proofErr w:type="spellStart"/>
      <w:r w:rsidRPr="00242645">
        <w:rPr>
          <w:rFonts w:ascii="Arial" w:hAnsi="Arial" w:cs="Arial"/>
        </w:rPr>
        <w:t>spracovalo</w:t>
      </w:r>
      <w:proofErr w:type="spellEnd"/>
      <w:r w:rsidRPr="00242645">
        <w:rPr>
          <w:rFonts w:ascii="Arial" w:hAnsi="Arial" w:cs="Arial"/>
        </w:rPr>
        <w:t xml:space="preserve">: Integrovaná </w:t>
      </w:r>
      <w:proofErr w:type="spellStart"/>
      <w:r w:rsidRPr="00242645">
        <w:rPr>
          <w:rFonts w:ascii="Arial" w:hAnsi="Arial" w:cs="Arial"/>
        </w:rPr>
        <w:t>stratégia</w:t>
      </w:r>
      <w:proofErr w:type="spellEnd"/>
      <w:r w:rsidRPr="00242645">
        <w:rPr>
          <w:rFonts w:ascii="Arial" w:hAnsi="Arial" w:cs="Arial"/>
        </w:rPr>
        <w:t xml:space="preserve"> </w:t>
      </w:r>
      <w:proofErr w:type="spellStart"/>
      <w:r w:rsidRPr="00242645">
        <w:rPr>
          <w:rFonts w:ascii="Arial" w:hAnsi="Arial" w:cs="Arial"/>
        </w:rPr>
        <w:t>rozvoja</w:t>
      </w:r>
      <w:proofErr w:type="spellEnd"/>
      <w:r w:rsidRPr="00242645">
        <w:rPr>
          <w:rFonts w:ascii="Arial" w:hAnsi="Arial" w:cs="Arial"/>
        </w:rPr>
        <w:t xml:space="preserve"> Banskobystrický </w:t>
      </w:r>
      <w:proofErr w:type="spellStart"/>
      <w:r w:rsidRPr="00242645">
        <w:rPr>
          <w:rFonts w:ascii="Arial" w:hAnsi="Arial" w:cs="Arial"/>
        </w:rPr>
        <w:t>geopark</w:t>
      </w:r>
      <w:proofErr w:type="spellEnd"/>
      <w:r w:rsidRPr="00242645">
        <w:rPr>
          <w:rFonts w:ascii="Arial" w:hAnsi="Arial" w:cs="Arial"/>
        </w:rPr>
        <w:t xml:space="preserve"> (</w:t>
      </w:r>
      <w:proofErr w:type="spellStart"/>
      <w:r w:rsidRPr="00242645">
        <w:rPr>
          <w:rFonts w:ascii="Arial" w:hAnsi="Arial" w:cs="Arial"/>
        </w:rPr>
        <w:t>predkladateľ</w:t>
      </w:r>
      <w:proofErr w:type="spellEnd"/>
      <w:r w:rsidRPr="00242645">
        <w:rPr>
          <w:rFonts w:ascii="Arial" w:hAnsi="Arial" w:cs="Arial"/>
        </w:rPr>
        <w:t xml:space="preserve"> BBGMP, Banskobystrická </w:t>
      </w:r>
      <w:proofErr w:type="spellStart"/>
      <w:r w:rsidRPr="00242645">
        <w:rPr>
          <w:rFonts w:ascii="Arial" w:hAnsi="Arial" w:cs="Arial"/>
        </w:rPr>
        <w:t>medená</w:t>
      </w:r>
      <w:proofErr w:type="spellEnd"/>
      <w:r w:rsidRPr="00242645">
        <w:rPr>
          <w:rFonts w:ascii="Arial" w:hAnsi="Arial" w:cs="Arial"/>
        </w:rPr>
        <w:t xml:space="preserve"> cesta - cesta </w:t>
      </w:r>
      <w:proofErr w:type="spellStart"/>
      <w:r w:rsidRPr="00242645">
        <w:rPr>
          <w:rFonts w:ascii="Arial" w:hAnsi="Arial" w:cs="Arial"/>
        </w:rPr>
        <w:t>poznania</w:t>
      </w:r>
      <w:proofErr w:type="spellEnd"/>
      <w:r w:rsidRPr="00242645">
        <w:rPr>
          <w:rFonts w:ascii="Arial" w:hAnsi="Arial" w:cs="Arial"/>
        </w:rPr>
        <w:t xml:space="preserve"> a oddychu (</w:t>
      </w:r>
      <w:proofErr w:type="spellStart"/>
      <w:r w:rsidRPr="00242645">
        <w:rPr>
          <w:rFonts w:ascii="Arial" w:hAnsi="Arial" w:cs="Arial"/>
        </w:rPr>
        <w:t>predkladateľ</w:t>
      </w:r>
      <w:proofErr w:type="spellEnd"/>
      <w:r w:rsidRPr="00242645">
        <w:rPr>
          <w:rFonts w:ascii="Arial" w:hAnsi="Arial" w:cs="Arial"/>
        </w:rPr>
        <w:t xml:space="preserve"> </w:t>
      </w:r>
      <w:proofErr w:type="spellStart"/>
      <w:r w:rsidRPr="00242645">
        <w:rPr>
          <w:rFonts w:ascii="Arial" w:hAnsi="Arial" w:cs="Arial"/>
        </w:rPr>
        <w:t>mesto</w:t>
      </w:r>
      <w:proofErr w:type="spellEnd"/>
      <w:r w:rsidRPr="00242645">
        <w:rPr>
          <w:rFonts w:ascii="Arial" w:hAnsi="Arial" w:cs="Arial"/>
        </w:rPr>
        <w:t xml:space="preserve"> BB, Banskobystrický </w:t>
      </w:r>
      <w:proofErr w:type="spellStart"/>
      <w:r w:rsidRPr="00242645">
        <w:rPr>
          <w:rFonts w:ascii="Arial" w:hAnsi="Arial" w:cs="Arial"/>
        </w:rPr>
        <w:t>geopark</w:t>
      </w:r>
      <w:proofErr w:type="spellEnd"/>
      <w:r w:rsidRPr="00242645">
        <w:rPr>
          <w:rFonts w:ascii="Arial" w:hAnsi="Arial" w:cs="Arial"/>
        </w:rPr>
        <w:t xml:space="preserve"> – </w:t>
      </w:r>
      <w:proofErr w:type="spellStart"/>
      <w:r w:rsidRPr="00242645">
        <w:rPr>
          <w:rFonts w:ascii="Arial" w:hAnsi="Arial" w:cs="Arial"/>
        </w:rPr>
        <w:t>miesto</w:t>
      </w:r>
      <w:proofErr w:type="spellEnd"/>
      <w:r w:rsidRPr="00242645">
        <w:rPr>
          <w:rFonts w:ascii="Arial" w:hAnsi="Arial" w:cs="Arial"/>
        </w:rPr>
        <w:t xml:space="preserve"> a </w:t>
      </w:r>
      <w:proofErr w:type="spellStart"/>
      <w:r w:rsidRPr="00242645">
        <w:rPr>
          <w:rFonts w:ascii="Arial" w:hAnsi="Arial" w:cs="Arial"/>
        </w:rPr>
        <w:t>cieľ</w:t>
      </w:r>
      <w:proofErr w:type="spellEnd"/>
      <w:r w:rsidRPr="00242645">
        <w:rPr>
          <w:rFonts w:ascii="Arial" w:hAnsi="Arial" w:cs="Arial"/>
        </w:rPr>
        <w:t xml:space="preserve"> </w:t>
      </w:r>
      <w:proofErr w:type="spellStart"/>
      <w:r w:rsidRPr="00242645">
        <w:rPr>
          <w:rFonts w:ascii="Arial" w:hAnsi="Arial" w:cs="Arial"/>
        </w:rPr>
        <w:t>kultúrneho</w:t>
      </w:r>
      <w:proofErr w:type="spellEnd"/>
      <w:r w:rsidRPr="00242645">
        <w:rPr>
          <w:rFonts w:ascii="Arial" w:hAnsi="Arial" w:cs="Arial"/>
        </w:rPr>
        <w:t xml:space="preserve"> a </w:t>
      </w:r>
      <w:proofErr w:type="spellStart"/>
      <w:r w:rsidRPr="00242645">
        <w:rPr>
          <w:rFonts w:ascii="Arial" w:hAnsi="Arial" w:cs="Arial"/>
        </w:rPr>
        <w:t>poznávacieho</w:t>
      </w:r>
      <w:proofErr w:type="spellEnd"/>
      <w:r w:rsidRPr="00242645">
        <w:rPr>
          <w:rFonts w:ascii="Arial" w:hAnsi="Arial" w:cs="Arial"/>
        </w:rPr>
        <w:t xml:space="preserve"> turizmu (</w:t>
      </w:r>
      <w:proofErr w:type="spellStart"/>
      <w:r w:rsidRPr="00242645">
        <w:rPr>
          <w:rFonts w:ascii="Arial" w:hAnsi="Arial" w:cs="Arial"/>
        </w:rPr>
        <w:t>predkladateľ</w:t>
      </w:r>
      <w:proofErr w:type="spellEnd"/>
      <w:r w:rsidRPr="00242645">
        <w:rPr>
          <w:rFonts w:ascii="Arial" w:hAnsi="Arial" w:cs="Arial"/>
        </w:rPr>
        <w:t xml:space="preserve"> BBSK).</w:t>
      </w:r>
    </w:p>
    <w:p w:rsidR="001104E0" w:rsidRDefault="001104E0" w:rsidP="001104E0">
      <w:pPr>
        <w:rPr>
          <w:rFonts w:ascii="Arial" w:hAnsi="Arial" w:cs="Arial"/>
        </w:rPr>
      </w:pPr>
      <w:r w:rsidRPr="00242645">
        <w:rPr>
          <w:rFonts w:ascii="Arial" w:hAnsi="Arial" w:cs="Arial"/>
        </w:rPr>
        <w:t xml:space="preserve">Všetky 3 projekty boli neúspešné z dôvodu nedostatku alokovaných finančných zdrojov na opatrenie. </w:t>
      </w:r>
      <w:r>
        <w:rPr>
          <w:rFonts w:ascii="Arial" w:hAnsi="Arial" w:cs="Arial"/>
        </w:rPr>
        <w:t xml:space="preserve">Stretnutie sa nieslo vo veľkom sklamaní, pretože bolo jednoznačne konštatované, že BBGPM chýba  </w:t>
      </w:r>
      <w:proofErr w:type="spellStart"/>
      <w:r>
        <w:rPr>
          <w:rFonts w:ascii="Arial" w:hAnsi="Arial" w:cs="Arial"/>
        </w:rPr>
        <w:t>lobbing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kompetetntných</w:t>
      </w:r>
      <w:proofErr w:type="spellEnd"/>
      <w:r>
        <w:rPr>
          <w:rFonts w:ascii="Arial" w:hAnsi="Arial" w:cs="Arial"/>
        </w:rPr>
        <w:t xml:space="preserve"> miestach, kde sú zrejme iné dôležitejšie záujmy. SR OZ na stretnutí aj naďalej  odporučila partnerstvá </w:t>
      </w:r>
      <w:proofErr w:type="spellStart"/>
      <w:r>
        <w:rPr>
          <w:rFonts w:ascii="Arial" w:hAnsi="Arial" w:cs="Arial"/>
        </w:rPr>
        <w:t>ďaľších</w:t>
      </w:r>
      <w:proofErr w:type="spellEnd"/>
      <w:r>
        <w:rPr>
          <w:rFonts w:ascii="Arial" w:hAnsi="Arial" w:cs="Arial"/>
        </w:rPr>
        <w:t xml:space="preserve"> subjektov v </w:t>
      </w:r>
      <w:proofErr w:type="spellStart"/>
      <w:r>
        <w:rPr>
          <w:rFonts w:ascii="Arial" w:hAnsi="Arial" w:cs="Arial"/>
        </w:rPr>
        <w:t>geoparku</w:t>
      </w:r>
      <w:proofErr w:type="spellEnd"/>
      <w:r>
        <w:rPr>
          <w:rFonts w:ascii="Arial" w:hAnsi="Arial" w:cs="Arial"/>
        </w:rPr>
        <w:t xml:space="preserve"> ako napr.:  Lesy SR, Rudné bane, š.p. B. Bystrica, Banskobystrický banícky cech,  </w:t>
      </w:r>
      <w:proofErr w:type="spellStart"/>
      <w:r>
        <w:rPr>
          <w:rFonts w:ascii="Arial" w:hAnsi="Arial" w:cs="Arial"/>
        </w:rPr>
        <w:t>Slov.banské</w:t>
      </w:r>
      <w:proofErr w:type="spellEnd"/>
      <w:r>
        <w:rPr>
          <w:rFonts w:ascii="Arial" w:hAnsi="Arial" w:cs="Arial"/>
        </w:rPr>
        <w:t xml:space="preserve"> múzeum, F.O. - Ing. </w:t>
      </w:r>
      <w:proofErr w:type="spellStart"/>
      <w:r>
        <w:rPr>
          <w:rFonts w:ascii="Arial" w:hAnsi="Arial" w:cs="Arial"/>
        </w:rPr>
        <w:t>Burkovský</w:t>
      </w:r>
      <w:proofErr w:type="spellEnd"/>
      <w:r>
        <w:rPr>
          <w:rFonts w:ascii="Arial" w:hAnsi="Arial" w:cs="Arial"/>
        </w:rPr>
        <w:t xml:space="preserve"> a iní odborníci. Riaditeľka bola poverená predložením žiadosti o podporu aj </w:t>
      </w:r>
      <w:proofErr w:type="spellStart"/>
      <w:r>
        <w:rPr>
          <w:rFonts w:ascii="Arial" w:hAnsi="Arial" w:cs="Arial"/>
        </w:rPr>
        <w:t>Envirofond</w:t>
      </w:r>
      <w:proofErr w:type="spellEnd"/>
      <w:r>
        <w:rPr>
          <w:rFonts w:ascii="Arial" w:hAnsi="Arial" w:cs="Arial"/>
        </w:rPr>
        <w:t xml:space="preserve"> 2011 ešte do konca októbra 2010. </w:t>
      </w:r>
    </w:p>
    <w:p w:rsidR="001104E0" w:rsidRDefault="001104E0" w:rsidP="001104E0">
      <w:pPr>
        <w:ind w:firstLine="480"/>
        <w:rPr>
          <w:rFonts w:ascii="Arial" w:hAnsi="Arial" w:cs="Arial"/>
        </w:rPr>
      </w:pPr>
    </w:p>
    <w:p w:rsidR="001104E0" w:rsidRDefault="001104E0" w:rsidP="001104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SR v Banskej Bystrici.</w:t>
      </w:r>
    </w:p>
    <w:p w:rsidR="001104E0" w:rsidRDefault="001104E0" w:rsidP="001104E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Posledné stretnutie SR OZ sa konalo pri príležitosti vianočných sviatkov. Hlavnou témou stretnutia bol návrh činnosti OZ v roku 2011. V septembri 2010 boli v spolupráci s BB VIPA naši 3 delegovaní členovia na študijnej ceste v Estónsku ako zástupcovia združenia, ktorí na stretnutí SR informovali. </w:t>
      </w:r>
      <w:proofErr w:type="spellStart"/>
      <w:r>
        <w:rPr>
          <w:rFonts w:ascii="Arial" w:hAnsi="Arial" w:cs="Arial"/>
        </w:rPr>
        <w:t>Jirko</w:t>
      </w:r>
      <w:proofErr w:type="spellEnd"/>
      <w:r>
        <w:rPr>
          <w:rFonts w:ascii="Arial" w:hAnsi="Arial" w:cs="Arial"/>
        </w:rPr>
        <w:t xml:space="preserve"> Vlček informoval a priniesol aj </w:t>
      </w:r>
      <w:proofErr w:type="spellStart"/>
      <w:r>
        <w:rPr>
          <w:rFonts w:ascii="Arial" w:hAnsi="Arial" w:cs="Arial"/>
        </w:rPr>
        <w:t>foto</w:t>
      </w:r>
      <w:proofErr w:type="spellEnd"/>
      <w:r>
        <w:rPr>
          <w:rFonts w:ascii="Arial" w:hAnsi="Arial" w:cs="Arial"/>
        </w:rPr>
        <w:t>. SR konštatovala výrazný neúspech v žiadostiach o finančnú podporu 7 projektov napriek intenzite, náročnosti a vysokej kvalite. Územie Banskej Bystrice a okolia napriek preferovaniu v dokumentoch zrejme nie je dostatočne zaujímavé, čo je dosť nepochopiteľné. Prítomní vyslovili nesúhlas a potrebu vyššej akcelerácie v budúcom </w:t>
      </w:r>
      <w:proofErr w:type="spellStart"/>
      <w:r>
        <w:rPr>
          <w:rFonts w:ascii="Arial" w:hAnsi="Arial" w:cs="Arial"/>
        </w:rPr>
        <w:t>lobbingu</w:t>
      </w:r>
      <w:proofErr w:type="spellEnd"/>
      <w:r>
        <w:rPr>
          <w:rFonts w:ascii="Arial" w:hAnsi="Arial" w:cs="Arial"/>
        </w:rPr>
        <w:t xml:space="preserve">. </w:t>
      </w:r>
    </w:p>
    <w:p w:rsidR="001104E0" w:rsidRDefault="001104E0" w:rsidP="001104E0">
      <w:pPr>
        <w:ind w:firstLine="708"/>
        <w:rPr>
          <w:rFonts w:ascii="Arial" w:hAnsi="Arial" w:cs="Arial"/>
        </w:rPr>
      </w:pPr>
    </w:p>
    <w:p w:rsidR="001104E0" w:rsidRDefault="001104E0" w:rsidP="001104E0">
      <w:pPr>
        <w:pStyle w:val="Nadpis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lastRenderedPageBreak/>
        <w:t>Projekty :</w:t>
      </w:r>
    </w:p>
    <w:p w:rsidR="001104E0" w:rsidRDefault="001104E0" w:rsidP="001104E0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lang w:val="sk-SK" w:eastAsia="sk-SK"/>
        </w:rPr>
      </w:pPr>
    </w:p>
    <w:p w:rsidR="001104E0" w:rsidRPr="00843E5D" w:rsidRDefault="001104E0" w:rsidP="001104E0">
      <w:pPr>
        <w:rPr>
          <w:rFonts w:ascii="Arial" w:hAnsi="Arial" w:cs="Arial"/>
          <w:u w:val="single"/>
        </w:rPr>
      </w:pPr>
      <w:r w:rsidRPr="000F5410">
        <w:rPr>
          <w:rFonts w:ascii="Arial" w:hAnsi="Arial" w:cs="Arial"/>
        </w:rPr>
        <w:t>V roku 2010</w:t>
      </w:r>
      <w:r>
        <w:rPr>
          <w:rFonts w:ascii="Arial" w:hAnsi="Arial" w:cs="Arial"/>
        </w:rPr>
        <w:t xml:space="preserve"> bolo vypracovaných a predložených celkom 11 projektov zahrnutých v rámci BB </w:t>
      </w:r>
      <w:proofErr w:type="spellStart"/>
      <w:r>
        <w:rPr>
          <w:rFonts w:ascii="Arial" w:hAnsi="Arial" w:cs="Arial"/>
        </w:rPr>
        <w:t>geoparku</w:t>
      </w:r>
      <w:proofErr w:type="spellEnd"/>
      <w:r>
        <w:rPr>
          <w:rFonts w:ascii="Arial" w:hAnsi="Arial" w:cs="Arial"/>
        </w:rPr>
        <w:t xml:space="preserve"> a ktoré BBGMP pre združenie a partnerov spracovalo. </w:t>
      </w:r>
      <w:r w:rsidRPr="00843E5D">
        <w:rPr>
          <w:rFonts w:ascii="Arial" w:hAnsi="Arial" w:cs="Arial"/>
          <w:u w:val="single"/>
        </w:rPr>
        <w:t xml:space="preserve">Je nutné zdôrazniť, že </w:t>
      </w:r>
      <w:r w:rsidRPr="00843E5D">
        <w:rPr>
          <w:rFonts w:ascii="Arial" w:hAnsi="Arial" w:cs="Arial"/>
          <w:b/>
          <w:u w:val="single"/>
        </w:rPr>
        <w:t>všetky projekty boli spracované v súlade s pravidlami, boli zhodnotené podporovateľom ako kvalitné</w:t>
      </w:r>
      <w:r w:rsidRPr="00843E5D">
        <w:rPr>
          <w:rFonts w:ascii="Arial" w:hAnsi="Arial" w:cs="Arial"/>
          <w:u w:val="single"/>
        </w:rPr>
        <w:t xml:space="preserve"> avšak napriek tomu boli neúspešné.</w:t>
      </w:r>
    </w:p>
    <w:p w:rsidR="001104E0" w:rsidRDefault="001104E0" w:rsidP="001104E0">
      <w:pPr>
        <w:rPr>
          <w:rFonts w:ascii="Arial" w:hAnsi="Arial" w:cs="Arial"/>
        </w:rPr>
      </w:pPr>
    </w:p>
    <w:p w:rsidR="001104E0" w:rsidRDefault="001104E0" w:rsidP="001104E0">
      <w:pPr>
        <w:rPr>
          <w:rFonts w:ascii="Arial" w:hAnsi="Arial" w:cs="Arial"/>
        </w:rPr>
      </w:pPr>
      <w:r>
        <w:rPr>
          <w:rFonts w:ascii="Arial" w:hAnsi="Arial" w:cs="Arial"/>
        </w:rPr>
        <w:t>2010</w:t>
      </w:r>
    </w:p>
    <w:tbl>
      <w:tblPr>
        <w:tblW w:w="927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850"/>
        <w:gridCol w:w="1559"/>
        <w:gridCol w:w="1418"/>
        <w:gridCol w:w="3118"/>
        <w:gridCol w:w="1985"/>
      </w:tblGrid>
      <w:tr w:rsidR="001104E0" w:rsidTr="001941E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47" w:type="dxa"/>
            <w:shd w:val="pct10" w:color="auto" w:fill="auto"/>
            <w:vAlign w:val="center"/>
          </w:tcPr>
          <w:p w:rsidR="001104E0" w:rsidRPr="00B67466" w:rsidRDefault="001104E0" w:rsidP="001941EA">
            <w:pPr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466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  <w:p w:rsidR="001104E0" w:rsidRPr="00B67466" w:rsidRDefault="001104E0" w:rsidP="001941EA">
            <w:pPr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466">
              <w:rPr>
                <w:rFonts w:ascii="Arial" w:hAnsi="Arial" w:cs="Arial"/>
                <w:b/>
                <w:sz w:val="18"/>
                <w:szCs w:val="18"/>
              </w:rPr>
              <w:t>č.</w:t>
            </w:r>
          </w:p>
        </w:tc>
        <w:tc>
          <w:tcPr>
            <w:tcW w:w="850" w:type="dxa"/>
            <w:shd w:val="pct10" w:color="auto" w:fill="auto"/>
          </w:tcPr>
          <w:p w:rsidR="001104E0" w:rsidRPr="00B67466" w:rsidRDefault="001104E0" w:rsidP="001941EA">
            <w:pPr>
              <w:ind w:left="-79"/>
              <w:rPr>
                <w:rFonts w:ascii="Arial" w:hAnsi="Arial" w:cs="Arial"/>
                <w:b/>
                <w:sz w:val="18"/>
                <w:szCs w:val="18"/>
              </w:rPr>
            </w:pPr>
            <w:r w:rsidRPr="00B67466">
              <w:rPr>
                <w:rFonts w:ascii="Arial" w:hAnsi="Arial" w:cs="Arial"/>
                <w:b/>
                <w:sz w:val="18"/>
                <w:szCs w:val="18"/>
              </w:rPr>
              <w:t xml:space="preserve">  Mesiac</w:t>
            </w:r>
          </w:p>
        </w:tc>
        <w:tc>
          <w:tcPr>
            <w:tcW w:w="1559" w:type="dxa"/>
            <w:shd w:val="pct10" w:color="auto" w:fill="auto"/>
          </w:tcPr>
          <w:p w:rsidR="001104E0" w:rsidRPr="00B67466" w:rsidRDefault="001104E0" w:rsidP="001941EA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7466">
              <w:rPr>
                <w:rFonts w:ascii="Arial" w:hAnsi="Arial" w:cs="Arial"/>
                <w:b/>
                <w:sz w:val="18"/>
                <w:szCs w:val="18"/>
              </w:rPr>
              <w:t>Podporovateľ</w:t>
            </w:r>
          </w:p>
        </w:tc>
        <w:tc>
          <w:tcPr>
            <w:tcW w:w="1418" w:type="dxa"/>
            <w:shd w:val="pct10" w:color="auto" w:fill="auto"/>
          </w:tcPr>
          <w:p w:rsidR="001104E0" w:rsidRPr="00B67466" w:rsidRDefault="001104E0" w:rsidP="001941EA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7466">
              <w:rPr>
                <w:rFonts w:ascii="Arial" w:hAnsi="Arial" w:cs="Arial"/>
                <w:b/>
                <w:sz w:val="18"/>
                <w:szCs w:val="18"/>
              </w:rPr>
              <w:t>Predkladateľ</w:t>
            </w:r>
          </w:p>
        </w:tc>
        <w:tc>
          <w:tcPr>
            <w:tcW w:w="3118" w:type="dxa"/>
            <w:shd w:val="pct10" w:color="auto" w:fill="auto"/>
          </w:tcPr>
          <w:p w:rsidR="001104E0" w:rsidRPr="00B67466" w:rsidRDefault="001104E0" w:rsidP="001941EA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7466">
              <w:rPr>
                <w:rFonts w:ascii="Arial" w:hAnsi="Arial" w:cs="Arial"/>
                <w:b/>
                <w:sz w:val="18"/>
                <w:szCs w:val="18"/>
              </w:rPr>
              <w:t>Názov projektu</w:t>
            </w:r>
          </w:p>
        </w:tc>
        <w:tc>
          <w:tcPr>
            <w:tcW w:w="1985" w:type="dxa"/>
            <w:shd w:val="pct10" w:color="auto" w:fill="auto"/>
          </w:tcPr>
          <w:p w:rsidR="001104E0" w:rsidRPr="00B67466" w:rsidRDefault="001104E0" w:rsidP="001941EA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7466">
              <w:rPr>
                <w:rFonts w:ascii="Arial" w:hAnsi="Arial" w:cs="Arial"/>
                <w:b/>
                <w:sz w:val="18"/>
                <w:szCs w:val="18"/>
              </w:rPr>
              <w:t>Stav k 31.12.2011</w:t>
            </w:r>
          </w:p>
        </w:tc>
      </w:tr>
      <w:tr w:rsidR="001104E0" w:rsidTr="001941E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47" w:type="dxa"/>
          </w:tcPr>
          <w:p w:rsidR="001104E0" w:rsidRPr="000F5410" w:rsidRDefault="001104E0" w:rsidP="001941EA">
            <w:pPr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104E0" w:rsidRPr="00B67466" w:rsidRDefault="001104E0" w:rsidP="001941EA">
            <w:pPr>
              <w:ind w:left="-79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január</w:t>
            </w:r>
          </w:p>
        </w:tc>
        <w:tc>
          <w:tcPr>
            <w:tcW w:w="1559" w:type="dxa"/>
          </w:tcPr>
          <w:p w:rsidR="001104E0" w:rsidRPr="000F541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PRV Opatrenie 4.1.</w:t>
            </w:r>
          </w:p>
        </w:tc>
        <w:tc>
          <w:tcPr>
            <w:tcW w:w="1418" w:type="dxa"/>
          </w:tcPr>
          <w:p w:rsidR="001104E0" w:rsidRPr="000F541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F5410">
              <w:rPr>
                <w:rFonts w:ascii="Arial" w:hAnsi="Arial" w:cs="Arial"/>
                <w:sz w:val="18"/>
                <w:szCs w:val="18"/>
              </w:rPr>
              <w:t>BBGMP</w:t>
            </w:r>
          </w:p>
        </w:tc>
        <w:tc>
          <w:tcPr>
            <w:tcW w:w="3118" w:type="dxa"/>
          </w:tcPr>
          <w:p w:rsidR="001104E0" w:rsidRPr="000F541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Integrovaná stratégia rozvoja územia Banskobystrický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geopark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(LEADER)</w:t>
            </w:r>
          </w:p>
        </w:tc>
        <w:tc>
          <w:tcPr>
            <w:tcW w:w="1985" w:type="dxa"/>
          </w:tcPr>
          <w:p w:rsidR="001104E0" w:rsidRDefault="001104E0" w:rsidP="001941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Neúspešný</w:t>
            </w:r>
          </w:p>
          <w:p w:rsidR="001104E0" w:rsidRPr="000F541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67466">
              <w:rPr>
                <w:rFonts w:ascii="Arial" w:hAnsi="Arial" w:cs="Arial"/>
                <w:sz w:val="12"/>
                <w:szCs w:val="12"/>
              </w:rPr>
              <w:t>Nedostatok finančných zdrojov</w:t>
            </w:r>
          </w:p>
        </w:tc>
      </w:tr>
      <w:tr w:rsidR="001104E0" w:rsidTr="001941E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47" w:type="dxa"/>
          </w:tcPr>
          <w:p w:rsidR="001104E0" w:rsidRDefault="001104E0" w:rsidP="001941EA">
            <w:pPr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104E0" w:rsidRPr="00B67466" w:rsidRDefault="001104E0" w:rsidP="001941EA">
            <w:pPr>
              <w:ind w:left="-79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F5410">
              <w:rPr>
                <w:rFonts w:ascii="Arial" w:hAnsi="Arial" w:cs="Arial"/>
                <w:sz w:val="18"/>
                <w:szCs w:val="18"/>
              </w:rPr>
              <w:t>marec</w:t>
            </w:r>
          </w:p>
        </w:tc>
        <w:tc>
          <w:tcPr>
            <w:tcW w:w="1559" w:type="dxa"/>
          </w:tcPr>
          <w:p w:rsidR="001104E0" w:rsidRPr="000F541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F5410">
              <w:rPr>
                <w:rFonts w:ascii="Arial" w:hAnsi="Arial" w:cs="Arial"/>
                <w:sz w:val="18"/>
                <w:szCs w:val="18"/>
              </w:rPr>
              <w:t>Mesto Banská Bystrica</w:t>
            </w:r>
          </w:p>
        </w:tc>
        <w:tc>
          <w:tcPr>
            <w:tcW w:w="1418" w:type="dxa"/>
          </w:tcPr>
          <w:p w:rsidR="001104E0" w:rsidRPr="000F541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F5410">
              <w:rPr>
                <w:rFonts w:ascii="Arial" w:hAnsi="Arial" w:cs="Arial"/>
                <w:sz w:val="18"/>
                <w:szCs w:val="18"/>
              </w:rPr>
              <w:t>BBGMP</w:t>
            </w:r>
          </w:p>
        </w:tc>
        <w:tc>
          <w:tcPr>
            <w:tcW w:w="3118" w:type="dxa"/>
          </w:tcPr>
          <w:p w:rsidR="001104E0" w:rsidRPr="000F541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F5410">
              <w:rPr>
                <w:rFonts w:ascii="Arial" w:hAnsi="Arial" w:cs="Arial"/>
                <w:sz w:val="18"/>
                <w:szCs w:val="18"/>
              </w:rPr>
              <w:t xml:space="preserve">Vydávanie časopisu Bystrický </w:t>
            </w:r>
            <w:proofErr w:type="spellStart"/>
            <w:r w:rsidRPr="000F5410">
              <w:rPr>
                <w:rFonts w:ascii="Arial" w:hAnsi="Arial" w:cs="Arial"/>
                <w:sz w:val="18"/>
                <w:szCs w:val="18"/>
              </w:rPr>
              <w:t>Permon</w:t>
            </w:r>
            <w:proofErr w:type="spellEnd"/>
            <w:r w:rsidRPr="000F5410">
              <w:rPr>
                <w:rFonts w:ascii="Arial" w:hAnsi="Arial" w:cs="Arial"/>
                <w:sz w:val="18"/>
                <w:szCs w:val="18"/>
              </w:rPr>
              <w:t xml:space="preserve"> – ročník 2010</w:t>
            </w:r>
          </w:p>
        </w:tc>
        <w:tc>
          <w:tcPr>
            <w:tcW w:w="1985" w:type="dxa"/>
          </w:tcPr>
          <w:p w:rsidR="001104E0" w:rsidRPr="000F541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F5410">
              <w:rPr>
                <w:rFonts w:ascii="Arial" w:hAnsi="Arial" w:cs="Arial"/>
                <w:sz w:val="18"/>
                <w:szCs w:val="18"/>
              </w:rPr>
              <w:t>Realizácia, ukončený</w:t>
            </w:r>
          </w:p>
        </w:tc>
      </w:tr>
      <w:tr w:rsidR="001104E0" w:rsidTr="001941E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47" w:type="dxa"/>
          </w:tcPr>
          <w:p w:rsidR="001104E0" w:rsidRDefault="001104E0" w:rsidP="001941EA">
            <w:pPr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104E0" w:rsidRDefault="001104E0" w:rsidP="001941EA">
            <w:pPr>
              <w:ind w:left="-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apríl</w:t>
            </w:r>
          </w:p>
        </w:tc>
        <w:tc>
          <w:tcPr>
            <w:tcW w:w="1559" w:type="dxa"/>
          </w:tcPr>
          <w:p w:rsidR="001104E0" w:rsidRPr="000F541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F5410">
              <w:rPr>
                <w:rFonts w:ascii="Arial" w:hAnsi="Arial" w:cs="Arial"/>
                <w:sz w:val="18"/>
                <w:szCs w:val="18"/>
              </w:rPr>
              <w:t>Mesto Banská Bystrica</w:t>
            </w:r>
          </w:p>
        </w:tc>
        <w:tc>
          <w:tcPr>
            <w:tcW w:w="1418" w:type="dxa"/>
          </w:tcPr>
          <w:p w:rsidR="001104E0" w:rsidRPr="000F541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BBGMP</w:t>
            </w:r>
          </w:p>
        </w:tc>
        <w:tc>
          <w:tcPr>
            <w:tcW w:w="3118" w:type="dxa"/>
          </w:tcPr>
          <w:p w:rsidR="001104E0" w:rsidRPr="00B67466" w:rsidRDefault="001104E0" w:rsidP="001941EA">
            <w:pPr>
              <w:spacing w:line="276" w:lineRule="auto"/>
              <w:rPr>
                <w:rFonts w:ascii="Arial" w:hAnsi="Arial" w:cs="Arial"/>
              </w:rPr>
            </w:pPr>
            <w:r w:rsidRPr="00B67466">
              <w:rPr>
                <w:rFonts w:ascii="Arial" w:hAnsi="Arial" w:cs="Arial"/>
                <w:bCs/>
              </w:rPr>
              <w:t xml:space="preserve">BB </w:t>
            </w:r>
            <w:proofErr w:type="spellStart"/>
            <w:r w:rsidRPr="00B67466">
              <w:rPr>
                <w:rFonts w:ascii="Arial" w:hAnsi="Arial" w:cs="Arial"/>
                <w:bCs/>
              </w:rPr>
              <w:t>geopark</w:t>
            </w:r>
            <w:proofErr w:type="spellEnd"/>
            <w:r w:rsidRPr="00B67466">
              <w:rPr>
                <w:rFonts w:ascii="Arial" w:hAnsi="Arial" w:cs="Arial"/>
                <w:bCs/>
              </w:rPr>
              <w:t xml:space="preserve">- súťaž žiakov ZŠ – II. ročník  </w:t>
            </w:r>
          </w:p>
        </w:tc>
        <w:tc>
          <w:tcPr>
            <w:tcW w:w="1985" w:type="dxa"/>
          </w:tcPr>
          <w:p w:rsidR="001104E0" w:rsidRDefault="001104E0" w:rsidP="001941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Neúspešný</w:t>
            </w:r>
          </w:p>
          <w:p w:rsidR="001104E0" w:rsidRPr="00B67466" w:rsidRDefault="001104E0" w:rsidP="001941EA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B67466">
              <w:rPr>
                <w:rFonts w:ascii="Arial" w:hAnsi="Arial" w:cs="Arial"/>
                <w:sz w:val="12"/>
                <w:szCs w:val="12"/>
              </w:rPr>
              <w:t>Nedostatok finančných zdrojov</w:t>
            </w:r>
          </w:p>
        </w:tc>
      </w:tr>
      <w:tr w:rsidR="001104E0" w:rsidTr="001941E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47" w:type="dxa"/>
          </w:tcPr>
          <w:p w:rsidR="001104E0" w:rsidRDefault="001104E0" w:rsidP="001941EA">
            <w:pPr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104E0" w:rsidRDefault="001104E0" w:rsidP="001941EA">
            <w:pPr>
              <w:ind w:left="-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apríl</w:t>
            </w:r>
          </w:p>
        </w:tc>
        <w:tc>
          <w:tcPr>
            <w:tcW w:w="1559" w:type="dxa"/>
          </w:tcPr>
          <w:p w:rsidR="001104E0" w:rsidRPr="000F541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Ministerstvo školstva SR – program ADAM2</w:t>
            </w:r>
          </w:p>
        </w:tc>
        <w:tc>
          <w:tcPr>
            <w:tcW w:w="1418" w:type="dxa"/>
          </w:tcPr>
          <w:p w:rsidR="001104E0" w:rsidRPr="000F541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BBGMP</w:t>
            </w:r>
          </w:p>
        </w:tc>
        <w:tc>
          <w:tcPr>
            <w:tcW w:w="3118" w:type="dxa"/>
          </w:tcPr>
          <w:p w:rsidR="001104E0" w:rsidRPr="00CC6060" w:rsidRDefault="001104E0" w:rsidP="001941EA">
            <w:pPr>
              <w:spacing w:line="276" w:lineRule="auto"/>
              <w:rPr>
                <w:rFonts w:ascii="Arial" w:hAnsi="Arial" w:cs="Arial"/>
              </w:rPr>
            </w:pPr>
            <w:r w:rsidRPr="00CC6060">
              <w:rPr>
                <w:rFonts w:ascii="Arial" w:hAnsi="Arial" w:cs="Arial"/>
              </w:rPr>
              <w:t xml:space="preserve">Súťaž projektov žiakov ZŠ  </w:t>
            </w:r>
            <w:r>
              <w:rPr>
                <w:rFonts w:ascii="Arial" w:hAnsi="Arial" w:cs="Arial"/>
              </w:rPr>
              <w:t xml:space="preserve"> - II. ročník</w:t>
            </w:r>
          </w:p>
        </w:tc>
        <w:tc>
          <w:tcPr>
            <w:tcW w:w="1985" w:type="dxa"/>
          </w:tcPr>
          <w:p w:rsidR="001104E0" w:rsidRDefault="001104E0" w:rsidP="001941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Neúspešný</w:t>
            </w:r>
          </w:p>
          <w:p w:rsidR="001104E0" w:rsidRPr="000F541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67466">
              <w:rPr>
                <w:rFonts w:ascii="Arial" w:hAnsi="Arial" w:cs="Arial"/>
                <w:sz w:val="12"/>
                <w:szCs w:val="12"/>
              </w:rPr>
              <w:t>Nedostatok finančných zdrojov</w:t>
            </w:r>
          </w:p>
        </w:tc>
      </w:tr>
      <w:tr w:rsidR="001104E0" w:rsidTr="001941E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47" w:type="dxa"/>
          </w:tcPr>
          <w:p w:rsidR="001104E0" w:rsidRDefault="001104E0" w:rsidP="001941EA">
            <w:pPr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104E0" w:rsidRDefault="001104E0" w:rsidP="001941EA">
            <w:pPr>
              <w:ind w:left="-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máj</w:t>
            </w:r>
          </w:p>
        </w:tc>
        <w:tc>
          <w:tcPr>
            <w:tcW w:w="1559" w:type="dxa"/>
          </w:tcPr>
          <w:p w:rsidR="001104E0" w:rsidRPr="000F541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ROP Opatrenie 3.2.</w:t>
            </w:r>
          </w:p>
        </w:tc>
        <w:tc>
          <w:tcPr>
            <w:tcW w:w="1418" w:type="dxa"/>
          </w:tcPr>
          <w:p w:rsidR="001104E0" w:rsidRPr="000F541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BBSK</w:t>
            </w:r>
          </w:p>
        </w:tc>
        <w:tc>
          <w:tcPr>
            <w:tcW w:w="3118" w:type="dxa"/>
          </w:tcPr>
          <w:p w:rsidR="001104E0" w:rsidRPr="00CC6060" w:rsidRDefault="001104E0" w:rsidP="001941EA">
            <w:pPr>
              <w:spacing w:line="276" w:lineRule="auto"/>
              <w:rPr>
                <w:rFonts w:ascii="Arial" w:hAnsi="Arial" w:cs="Arial"/>
              </w:rPr>
            </w:pPr>
            <w:r w:rsidRPr="00CC6060">
              <w:rPr>
                <w:rFonts w:ascii="Arial" w:hAnsi="Arial" w:cs="Arial"/>
              </w:rPr>
              <w:t xml:space="preserve">BB </w:t>
            </w:r>
            <w:proofErr w:type="spellStart"/>
            <w:r w:rsidRPr="00CC6060">
              <w:rPr>
                <w:rFonts w:ascii="Arial" w:hAnsi="Arial" w:cs="Arial"/>
              </w:rPr>
              <w:t>geopark</w:t>
            </w:r>
            <w:proofErr w:type="spellEnd"/>
            <w:r w:rsidRPr="00CC6060">
              <w:rPr>
                <w:rFonts w:ascii="Arial" w:hAnsi="Arial" w:cs="Arial"/>
              </w:rPr>
              <w:t xml:space="preserve"> – cieľ a produkt kultúrn</w:t>
            </w:r>
            <w:r>
              <w:rPr>
                <w:rFonts w:ascii="Arial" w:hAnsi="Arial" w:cs="Arial"/>
              </w:rPr>
              <w:t>eho</w:t>
            </w:r>
            <w:r w:rsidRPr="00CC6060">
              <w:rPr>
                <w:rFonts w:ascii="Arial" w:hAnsi="Arial" w:cs="Arial"/>
              </w:rPr>
              <w:t xml:space="preserve"> a poznáv</w:t>
            </w:r>
            <w:r>
              <w:rPr>
                <w:rFonts w:ascii="Arial" w:hAnsi="Arial" w:cs="Arial"/>
              </w:rPr>
              <w:t>acieho</w:t>
            </w:r>
            <w:r w:rsidRPr="00CC6060">
              <w:rPr>
                <w:rFonts w:ascii="Arial" w:hAnsi="Arial" w:cs="Arial"/>
              </w:rPr>
              <w:t xml:space="preserve"> turizmu </w:t>
            </w:r>
            <w:r w:rsidRPr="00CC6060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85" w:type="dxa"/>
          </w:tcPr>
          <w:p w:rsidR="001104E0" w:rsidRDefault="001104E0" w:rsidP="001941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Neúspešný</w:t>
            </w:r>
          </w:p>
          <w:p w:rsidR="001104E0" w:rsidRPr="000F541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67466">
              <w:rPr>
                <w:rFonts w:ascii="Arial" w:hAnsi="Arial" w:cs="Arial"/>
                <w:sz w:val="12"/>
                <w:szCs w:val="12"/>
              </w:rPr>
              <w:t>Nedostatok finančných zdrojov</w:t>
            </w:r>
          </w:p>
        </w:tc>
      </w:tr>
      <w:tr w:rsidR="001104E0" w:rsidTr="001941E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47" w:type="dxa"/>
          </w:tcPr>
          <w:p w:rsidR="001104E0" w:rsidRDefault="001104E0" w:rsidP="001941EA">
            <w:pPr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1104E0" w:rsidRDefault="001104E0" w:rsidP="001941EA">
            <w:pPr>
              <w:ind w:left="-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máj</w:t>
            </w:r>
          </w:p>
        </w:tc>
        <w:tc>
          <w:tcPr>
            <w:tcW w:w="1559" w:type="dxa"/>
          </w:tcPr>
          <w:p w:rsidR="001104E0" w:rsidRPr="000F541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ROP Opatrenie 3.2.</w:t>
            </w:r>
          </w:p>
        </w:tc>
        <w:tc>
          <w:tcPr>
            <w:tcW w:w="1418" w:type="dxa"/>
          </w:tcPr>
          <w:p w:rsidR="001104E0" w:rsidRPr="000F541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Mesto Banská Bystrica</w:t>
            </w:r>
          </w:p>
        </w:tc>
        <w:tc>
          <w:tcPr>
            <w:tcW w:w="3118" w:type="dxa"/>
          </w:tcPr>
          <w:p w:rsidR="001104E0" w:rsidRDefault="001104E0" w:rsidP="001941EA">
            <w:pPr>
              <w:spacing w:line="276" w:lineRule="auto"/>
              <w:rPr>
                <w:rFonts w:ascii="Arial" w:hAnsi="Arial" w:cs="Arial"/>
              </w:rPr>
            </w:pPr>
            <w:r w:rsidRPr="00CC6060">
              <w:rPr>
                <w:rFonts w:ascii="Arial" w:hAnsi="Arial" w:cs="Arial"/>
              </w:rPr>
              <w:t>Banskobystrická medená cesta poznania a</w:t>
            </w:r>
            <w:r>
              <w:rPr>
                <w:rFonts w:ascii="Arial" w:hAnsi="Arial" w:cs="Arial"/>
              </w:rPr>
              <w:t> </w:t>
            </w:r>
            <w:r w:rsidRPr="00CC6060">
              <w:rPr>
                <w:rFonts w:ascii="Arial" w:hAnsi="Arial" w:cs="Arial"/>
              </w:rPr>
              <w:t>oddychu</w:t>
            </w:r>
          </w:p>
          <w:p w:rsidR="001104E0" w:rsidRPr="00CC6060" w:rsidRDefault="001104E0" w:rsidP="001941E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C60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(budovanie </w:t>
            </w:r>
            <w:proofErr w:type="spellStart"/>
            <w:r w:rsidRPr="00CC6060">
              <w:rPr>
                <w:rFonts w:ascii="Arial" w:hAnsi="Arial" w:cs="Arial"/>
                <w:i/>
                <w:iCs/>
                <w:sz w:val="16"/>
                <w:szCs w:val="16"/>
              </w:rPr>
              <w:t>klastra</w:t>
            </w:r>
            <w:proofErr w:type="spellEnd"/>
            <w:r w:rsidRPr="00CC60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v CR)</w:t>
            </w:r>
          </w:p>
        </w:tc>
        <w:tc>
          <w:tcPr>
            <w:tcW w:w="1985" w:type="dxa"/>
          </w:tcPr>
          <w:p w:rsidR="001104E0" w:rsidRDefault="001104E0" w:rsidP="001941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Neúspešný</w:t>
            </w:r>
          </w:p>
          <w:p w:rsidR="001104E0" w:rsidRPr="000F541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67466">
              <w:rPr>
                <w:rFonts w:ascii="Arial" w:hAnsi="Arial" w:cs="Arial"/>
                <w:sz w:val="12"/>
                <w:szCs w:val="12"/>
              </w:rPr>
              <w:t>Nedostatok finančných zdrojov</w:t>
            </w:r>
          </w:p>
        </w:tc>
      </w:tr>
      <w:tr w:rsidR="001104E0" w:rsidTr="001941E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47" w:type="dxa"/>
          </w:tcPr>
          <w:p w:rsidR="001104E0" w:rsidRDefault="001104E0" w:rsidP="001941EA">
            <w:pPr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104E0" w:rsidRDefault="001104E0" w:rsidP="001941EA">
            <w:pPr>
              <w:ind w:left="-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júl</w:t>
            </w:r>
          </w:p>
        </w:tc>
        <w:tc>
          <w:tcPr>
            <w:tcW w:w="1559" w:type="dxa"/>
          </w:tcPr>
          <w:p w:rsidR="001104E0" w:rsidRPr="000F541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VÚB grant</w:t>
            </w:r>
          </w:p>
        </w:tc>
        <w:tc>
          <w:tcPr>
            <w:tcW w:w="1418" w:type="dxa"/>
          </w:tcPr>
          <w:p w:rsidR="001104E0" w:rsidRPr="000F541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BBGMP</w:t>
            </w:r>
          </w:p>
        </w:tc>
        <w:tc>
          <w:tcPr>
            <w:tcW w:w="3118" w:type="dxa"/>
          </w:tcPr>
          <w:p w:rsidR="001104E0" w:rsidRPr="00CA6474" w:rsidRDefault="001104E0" w:rsidP="001941EA">
            <w:pPr>
              <w:spacing w:line="276" w:lineRule="auto"/>
              <w:rPr>
                <w:rFonts w:ascii="Arial" w:hAnsi="Arial" w:cs="Arial"/>
              </w:rPr>
            </w:pPr>
            <w:r w:rsidRPr="00CC6060">
              <w:rPr>
                <w:rFonts w:ascii="Arial" w:hAnsi="Arial" w:cs="Arial"/>
              </w:rPr>
              <w:t xml:space="preserve">Súťaž projektov žiakov ZŠ  </w:t>
            </w:r>
            <w:r>
              <w:rPr>
                <w:rFonts w:ascii="Arial" w:hAnsi="Arial" w:cs="Arial"/>
              </w:rPr>
              <w:t xml:space="preserve"> - II. ročník</w:t>
            </w:r>
          </w:p>
        </w:tc>
        <w:tc>
          <w:tcPr>
            <w:tcW w:w="1985" w:type="dxa"/>
          </w:tcPr>
          <w:p w:rsidR="001104E0" w:rsidRDefault="001104E0" w:rsidP="001941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Neúspešný</w:t>
            </w:r>
          </w:p>
          <w:p w:rsidR="001104E0" w:rsidRPr="000F5410" w:rsidRDefault="001104E0" w:rsidP="001941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67466">
              <w:rPr>
                <w:rFonts w:ascii="Arial" w:hAnsi="Arial" w:cs="Arial"/>
                <w:sz w:val="12"/>
                <w:szCs w:val="12"/>
              </w:rPr>
              <w:t>Nedostatok finančných zdrojov</w:t>
            </w:r>
          </w:p>
        </w:tc>
      </w:tr>
      <w:tr w:rsidR="001104E0" w:rsidTr="001941E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47" w:type="dxa"/>
          </w:tcPr>
          <w:p w:rsidR="001104E0" w:rsidRDefault="001104E0" w:rsidP="001941EA">
            <w:pPr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1104E0" w:rsidRDefault="001104E0" w:rsidP="001941EA">
            <w:pPr>
              <w:ind w:left="-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október</w:t>
            </w:r>
          </w:p>
        </w:tc>
        <w:tc>
          <w:tcPr>
            <w:tcW w:w="1559" w:type="dxa"/>
          </w:tcPr>
          <w:p w:rsidR="001104E0" w:rsidRPr="000F541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Envirofond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2011</w:t>
            </w:r>
          </w:p>
        </w:tc>
        <w:tc>
          <w:tcPr>
            <w:tcW w:w="1418" w:type="dxa"/>
          </w:tcPr>
          <w:p w:rsidR="001104E0" w:rsidRPr="000F541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BBGMP</w:t>
            </w:r>
          </w:p>
        </w:tc>
        <w:tc>
          <w:tcPr>
            <w:tcW w:w="3118" w:type="dxa"/>
          </w:tcPr>
          <w:p w:rsidR="001104E0" w:rsidRPr="00CA6474" w:rsidRDefault="001104E0" w:rsidP="001941EA">
            <w:pPr>
              <w:spacing w:line="276" w:lineRule="auto"/>
              <w:rPr>
                <w:rFonts w:ascii="Arial" w:hAnsi="Arial" w:cs="Arial"/>
              </w:rPr>
            </w:pPr>
            <w:r w:rsidRPr="00CA6474">
              <w:rPr>
                <w:rFonts w:ascii="Arial" w:hAnsi="Arial" w:cs="Arial"/>
                <w:bCs/>
              </w:rPr>
              <w:t xml:space="preserve">Banskobystrický </w:t>
            </w:r>
            <w:proofErr w:type="spellStart"/>
            <w:r w:rsidRPr="00CA6474">
              <w:rPr>
                <w:rFonts w:ascii="Arial" w:hAnsi="Arial" w:cs="Arial"/>
                <w:bCs/>
              </w:rPr>
              <w:t>geopark</w:t>
            </w:r>
            <w:proofErr w:type="spellEnd"/>
            <w:r w:rsidRPr="00CA6474">
              <w:rPr>
                <w:rFonts w:ascii="Arial" w:hAnsi="Arial" w:cs="Arial"/>
                <w:bCs/>
              </w:rPr>
              <w:t xml:space="preserve"> – environmentálna výchova a vzdelávanie</w:t>
            </w:r>
          </w:p>
        </w:tc>
        <w:tc>
          <w:tcPr>
            <w:tcW w:w="1985" w:type="dxa"/>
          </w:tcPr>
          <w:p w:rsidR="001104E0" w:rsidRPr="000F541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 vyjednávaní</w:t>
            </w:r>
          </w:p>
        </w:tc>
      </w:tr>
      <w:tr w:rsidR="001104E0" w:rsidTr="001941E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47" w:type="dxa"/>
          </w:tcPr>
          <w:p w:rsidR="001104E0" w:rsidRDefault="001104E0" w:rsidP="001941EA">
            <w:pPr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1104E0" w:rsidRDefault="001104E0" w:rsidP="001941EA">
            <w:pPr>
              <w:ind w:left="-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október</w:t>
            </w:r>
          </w:p>
        </w:tc>
        <w:tc>
          <w:tcPr>
            <w:tcW w:w="1559" w:type="dxa"/>
          </w:tcPr>
          <w:p w:rsidR="001104E0" w:rsidRDefault="001104E0" w:rsidP="001941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obnovy dediny </w:t>
            </w:r>
          </w:p>
          <w:p w:rsidR="001104E0" w:rsidRPr="00CA6474" w:rsidRDefault="001104E0" w:rsidP="001941EA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A6474">
              <w:rPr>
                <w:rFonts w:ascii="Arial" w:hAnsi="Arial" w:cs="Arial"/>
                <w:i/>
                <w:sz w:val="16"/>
                <w:szCs w:val="16"/>
              </w:rPr>
              <w:t>Envirofond</w:t>
            </w:r>
            <w:proofErr w:type="spellEnd"/>
            <w:r w:rsidRPr="00CA6474">
              <w:rPr>
                <w:rFonts w:ascii="Arial" w:hAnsi="Arial" w:cs="Arial"/>
                <w:i/>
                <w:sz w:val="16"/>
                <w:szCs w:val="16"/>
              </w:rPr>
              <w:t xml:space="preserve"> 2011</w:t>
            </w:r>
          </w:p>
        </w:tc>
        <w:tc>
          <w:tcPr>
            <w:tcW w:w="1418" w:type="dxa"/>
          </w:tcPr>
          <w:p w:rsidR="001104E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Kremnické vrchy - východ</w:t>
            </w:r>
          </w:p>
        </w:tc>
        <w:tc>
          <w:tcPr>
            <w:tcW w:w="3118" w:type="dxa"/>
          </w:tcPr>
          <w:p w:rsidR="001104E0" w:rsidRPr="000E1262" w:rsidRDefault="001104E0" w:rsidP="001941EA">
            <w:pPr>
              <w:pStyle w:val="Zkladntext"/>
              <w:tabs>
                <w:tab w:val="left" w:pos="7727"/>
              </w:tabs>
              <w:spacing w:before="40" w:after="40"/>
              <w:jc w:val="left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  <w:r w:rsidRPr="000E126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Banskobystrický </w:t>
            </w:r>
            <w:proofErr w:type="spellStart"/>
            <w:r w:rsidRPr="000E126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geopark</w:t>
            </w:r>
            <w:proofErr w:type="spellEnd"/>
            <w:r w:rsidRPr="000E126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- náučný chodník </w:t>
            </w:r>
            <w:proofErr w:type="spellStart"/>
            <w:r w:rsidRPr="000E126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geomontánnou</w:t>
            </w:r>
            <w:proofErr w:type="spellEnd"/>
            <w:r w:rsidRPr="000E126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oblasťou Kremnické vrchy</w:t>
            </w:r>
            <w: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- </w:t>
            </w:r>
            <w:r w:rsidRPr="000E126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štúdia</w:t>
            </w:r>
          </w:p>
        </w:tc>
        <w:tc>
          <w:tcPr>
            <w:tcW w:w="1985" w:type="dxa"/>
          </w:tcPr>
          <w:p w:rsidR="001104E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 vyjednávaní</w:t>
            </w:r>
          </w:p>
        </w:tc>
      </w:tr>
      <w:tr w:rsidR="001104E0" w:rsidTr="001941E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47" w:type="dxa"/>
          </w:tcPr>
          <w:p w:rsidR="001104E0" w:rsidRDefault="001104E0" w:rsidP="001941EA">
            <w:pPr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1104E0" w:rsidRDefault="001104E0" w:rsidP="001941EA">
            <w:pPr>
              <w:ind w:left="-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október</w:t>
            </w:r>
          </w:p>
        </w:tc>
        <w:tc>
          <w:tcPr>
            <w:tcW w:w="1559" w:type="dxa"/>
          </w:tcPr>
          <w:p w:rsidR="001104E0" w:rsidRDefault="001104E0" w:rsidP="001941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obnovy dediny </w:t>
            </w:r>
          </w:p>
          <w:p w:rsidR="001104E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6474">
              <w:rPr>
                <w:rFonts w:ascii="Arial" w:hAnsi="Arial" w:cs="Arial"/>
                <w:i/>
                <w:sz w:val="16"/>
                <w:szCs w:val="16"/>
              </w:rPr>
              <w:t>Envirofond</w:t>
            </w:r>
            <w:proofErr w:type="spellEnd"/>
            <w:r w:rsidRPr="00CA6474">
              <w:rPr>
                <w:rFonts w:ascii="Arial" w:hAnsi="Arial" w:cs="Arial"/>
                <w:i/>
                <w:sz w:val="16"/>
                <w:szCs w:val="16"/>
              </w:rPr>
              <w:t xml:space="preserve"> 2011</w:t>
            </w:r>
          </w:p>
        </w:tc>
        <w:tc>
          <w:tcPr>
            <w:tcW w:w="1418" w:type="dxa"/>
          </w:tcPr>
          <w:p w:rsidR="001104E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Starohorská dolina</w:t>
            </w:r>
          </w:p>
        </w:tc>
        <w:tc>
          <w:tcPr>
            <w:tcW w:w="3118" w:type="dxa"/>
          </w:tcPr>
          <w:p w:rsidR="001104E0" w:rsidRPr="000E1262" w:rsidRDefault="001104E0" w:rsidP="001941EA">
            <w:pPr>
              <w:spacing w:line="276" w:lineRule="auto"/>
              <w:rPr>
                <w:rFonts w:ascii="Arial" w:hAnsi="Arial" w:cs="Arial"/>
                <w:bCs/>
              </w:rPr>
            </w:pPr>
            <w:r w:rsidRPr="000E1262">
              <w:rPr>
                <w:rFonts w:ascii="Arial" w:hAnsi="Arial" w:cs="Arial"/>
                <w:bCs/>
                <w:iCs/>
              </w:rPr>
              <w:t xml:space="preserve">Náučný chodník </w:t>
            </w:r>
            <w:proofErr w:type="spellStart"/>
            <w:r w:rsidRPr="000E1262">
              <w:rPr>
                <w:rFonts w:ascii="Arial" w:hAnsi="Arial" w:cs="Arial"/>
                <w:bCs/>
                <w:iCs/>
              </w:rPr>
              <w:t>Starohorsko</w:t>
            </w:r>
            <w:proofErr w:type="spellEnd"/>
            <w:r w:rsidRPr="000E1262">
              <w:rPr>
                <w:rFonts w:ascii="Arial" w:hAnsi="Arial" w:cs="Arial"/>
                <w:bCs/>
                <w:iCs/>
              </w:rPr>
              <w:t xml:space="preserve"> špaňodolinskou </w:t>
            </w:r>
            <w:proofErr w:type="spellStart"/>
            <w:r w:rsidRPr="000E1262">
              <w:rPr>
                <w:rFonts w:ascii="Arial" w:hAnsi="Arial" w:cs="Arial"/>
                <w:bCs/>
                <w:iCs/>
              </w:rPr>
              <w:t>geomontánnou</w:t>
            </w:r>
            <w:proofErr w:type="spellEnd"/>
            <w:r w:rsidRPr="000E1262">
              <w:rPr>
                <w:rFonts w:ascii="Arial" w:hAnsi="Arial" w:cs="Arial"/>
                <w:bCs/>
                <w:iCs/>
              </w:rPr>
              <w:t xml:space="preserve"> oblasťou - časť Veľká Fatra a Starohorské vrchy</w:t>
            </w:r>
            <w:r>
              <w:rPr>
                <w:rFonts w:ascii="Arial" w:hAnsi="Arial" w:cs="Arial"/>
                <w:bCs/>
                <w:iCs/>
              </w:rPr>
              <w:t>-</w:t>
            </w:r>
            <w:r w:rsidRPr="000E12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E126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štúdia</w:t>
            </w:r>
          </w:p>
        </w:tc>
        <w:tc>
          <w:tcPr>
            <w:tcW w:w="1985" w:type="dxa"/>
          </w:tcPr>
          <w:p w:rsidR="001104E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 vyjednávaní</w:t>
            </w:r>
          </w:p>
        </w:tc>
      </w:tr>
      <w:tr w:rsidR="001104E0" w:rsidTr="001941E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47" w:type="dxa"/>
          </w:tcPr>
          <w:p w:rsidR="001104E0" w:rsidRDefault="001104E0" w:rsidP="001941EA">
            <w:pPr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1104E0" w:rsidRDefault="001104E0" w:rsidP="001941EA">
            <w:pPr>
              <w:ind w:left="-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október</w:t>
            </w:r>
          </w:p>
        </w:tc>
        <w:tc>
          <w:tcPr>
            <w:tcW w:w="1559" w:type="dxa"/>
          </w:tcPr>
          <w:p w:rsidR="001104E0" w:rsidRDefault="001104E0" w:rsidP="001941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obnovy dediny </w:t>
            </w:r>
          </w:p>
          <w:p w:rsidR="001104E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6474">
              <w:rPr>
                <w:rFonts w:ascii="Arial" w:hAnsi="Arial" w:cs="Arial"/>
                <w:i/>
                <w:sz w:val="16"/>
                <w:szCs w:val="16"/>
              </w:rPr>
              <w:t>Envirofond</w:t>
            </w:r>
            <w:proofErr w:type="spellEnd"/>
            <w:r w:rsidRPr="00CA6474">
              <w:rPr>
                <w:rFonts w:ascii="Arial" w:hAnsi="Arial" w:cs="Arial"/>
                <w:i/>
                <w:sz w:val="16"/>
                <w:szCs w:val="16"/>
              </w:rPr>
              <w:t xml:space="preserve"> 2011</w:t>
            </w:r>
          </w:p>
        </w:tc>
        <w:tc>
          <w:tcPr>
            <w:tcW w:w="1418" w:type="dxa"/>
          </w:tcPr>
          <w:p w:rsidR="001104E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Pod Panským Dielom</w:t>
            </w:r>
          </w:p>
        </w:tc>
        <w:tc>
          <w:tcPr>
            <w:tcW w:w="3118" w:type="dxa"/>
          </w:tcPr>
          <w:p w:rsidR="001104E0" w:rsidRPr="000E1262" w:rsidRDefault="001104E0" w:rsidP="001941EA">
            <w:pPr>
              <w:spacing w:line="276" w:lineRule="auto"/>
              <w:rPr>
                <w:rFonts w:ascii="Arial" w:hAnsi="Arial" w:cs="Arial"/>
                <w:bCs/>
              </w:rPr>
            </w:pPr>
            <w:r w:rsidRPr="000E1262">
              <w:rPr>
                <w:rFonts w:ascii="Arial" w:hAnsi="Arial" w:cs="Arial"/>
                <w:bCs/>
                <w:iCs/>
              </w:rPr>
              <w:t xml:space="preserve">Náučný chodník </w:t>
            </w:r>
            <w:proofErr w:type="spellStart"/>
            <w:r w:rsidRPr="000E1262">
              <w:rPr>
                <w:rFonts w:ascii="Arial" w:hAnsi="Arial" w:cs="Arial"/>
                <w:bCs/>
                <w:iCs/>
              </w:rPr>
              <w:t>Starohorsko</w:t>
            </w:r>
            <w:proofErr w:type="spellEnd"/>
            <w:r w:rsidRPr="000E1262">
              <w:rPr>
                <w:rFonts w:ascii="Arial" w:hAnsi="Arial" w:cs="Arial"/>
                <w:bCs/>
                <w:iCs/>
              </w:rPr>
              <w:t xml:space="preserve"> špaňodolinskou </w:t>
            </w:r>
            <w:proofErr w:type="spellStart"/>
            <w:r w:rsidRPr="000E1262">
              <w:rPr>
                <w:rFonts w:ascii="Arial" w:hAnsi="Arial" w:cs="Arial"/>
                <w:bCs/>
                <w:iCs/>
              </w:rPr>
              <w:t>geomontánnou</w:t>
            </w:r>
            <w:proofErr w:type="spellEnd"/>
            <w:r w:rsidRPr="000E1262">
              <w:rPr>
                <w:rFonts w:ascii="Arial" w:hAnsi="Arial" w:cs="Arial"/>
                <w:bCs/>
                <w:iCs/>
              </w:rPr>
              <w:t xml:space="preserve"> oblasťou - časť Pod Panským dielom</w:t>
            </w:r>
            <w:r>
              <w:rPr>
                <w:rFonts w:ascii="Arial" w:hAnsi="Arial" w:cs="Arial"/>
                <w:bCs/>
                <w:iCs/>
              </w:rPr>
              <w:t xml:space="preserve"> - </w:t>
            </w:r>
            <w:r w:rsidRPr="000E126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štúdia</w:t>
            </w:r>
          </w:p>
        </w:tc>
        <w:tc>
          <w:tcPr>
            <w:tcW w:w="1985" w:type="dxa"/>
          </w:tcPr>
          <w:p w:rsidR="001104E0" w:rsidRDefault="001104E0" w:rsidP="001941E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 vyjednávaní</w:t>
            </w:r>
          </w:p>
        </w:tc>
      </w:tr>
    </w:tbl>
    <w:p w:rsidR="001104E0" w:rsidRPr="000F5410" w:rsidRDefault="001104E0" w:rsidP="001104E0">
      <w:pPr>
        <w:rPr>
          <w:rFonts w:ascii="Arial" w:hAnsi="Arial" w:cs="Arial"/>
        </w:rPr>
      </w:pPr>
    </w:p>
    <w:p w:rsidR="001104E0" w:rsidRDefault="001104E0" w:rsidP="001104E0">
      <w:pPr>
        <w:pStyle w:val="Zkladntext"/>
        <w:rPr>
          <w:rFonts w:ascii="Arial" w:hAnsi="Arial" w:cs="Arial"/>
          <w:sz w:val="20"/>
          <w:szCs w:val="20"/>
          <w:u w:val="single"/>
        </w:rPr>
      </w:pPr>
    </w:p>
    <w:p w:rsidR="001104E0" w:rsidRDefault="001104E0" w:rsidP="001104E0">
      <w:pPr>
        <w:pStyle w:val="Zkladntex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Podujatia:</w:t>
      </w:r>
    </w:p>
    <w:p w:rsidR="001104E0" w:rsidRDefault="001104E0" w:rsidP="001104E0">
      <w:pPr>
        <w:pStyle w:val="Zkladntext"/>
        <w:rPr>
          <w:rFonts w:ascii="Arial" w:hAnsi="Arial" w:cs="Arial"/>
          <w:sz w:val="20"/>
          <w:szCs w:val="20"/>
          <w:u w:val="single"/>
        </w:rPr>
      </w:pPr>
    </w:p>
    <w:p w:rsidR="001104E0" w:rsidRDefault="001104E0" w:rsidP="001104E0">
      <w:pPr>
        <w:pStyle w:val="Zkladntext"/>
        <w:numPr>
          <w:ilvl w:val="0"/>
          <w:numId w:val="6"/>
        </w:numPr>
        <w:rPr>
          <w:rFonts w:ascii="Arial" w:hAnsi="Arial" w:cs="Arial"/>
          <w:b w:val="0"/>
          <w:sz w:val="20"/>
          <w:szCs w:val="20"/>
        </w:rPr>
      </w:pPr>
      <w:r w:rsidRPr="001A1CD3">
        <w:rPr>
          <w:rFonts w:ascii="Arial" w:hAnsi="Arial" w:cs="Arial"/>
          <w:b w:val="0"/>
          <w:sz w:val="20"/>
          <w:szCs w:val="20"/>
        </w:rPr>
        <w:t xml:space="preserve">Participácia </w:t>
      </w:r>
      <w:r>
        <w:rPr>
          <w:rFonts w:ascii="Arial" w:hAnsi="Arial" w:cs="Arial"/>
          <w:b w:val="0"/>
          <w:sz w:val="20"/>
          <w:szCs w:val="20"/>
        </w:rPr>
        <w:t xml:space="preserve">na prezentácii vidieka BB kraja na Agrokomplexe 2010 v Nitre v auguste 2010 ako partner Banskobystrického vidieckeho </w:t>
      </w:r>
      <w:proofErr w:type="spellStart"/>
      <w:r>
        <w:rPr>
          <w:rFonts w:ascii="Arial" w:hAnsi="Arial" w:cs="Arial"/>
          <w:b w:val="0"/>
          <w:sz w:val="20"/>
          <w:szCs w:val="20"/>
        </w:rPr>
        <w:t>partlamentu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 w:val="0"/>
          <w:sz w:val="20"/>
          <w:szCs w:val="20"/>
        </w:rPr>
        <w:t>bannery</w:t>
      </w:r>
      <w:proofErr w:type="spellEnd"/>
      <w:r>
        <w:rPr>
          <w:rFonts w:ascii="Arial" w:hAnsi="Arial" w:cs="Arial"/>
          <w:b w:val="0"/>
          <w:sz w:val="20"/>
          <w:szCs w:val="20"/>
        </w:rPr>
        <w:t>, brožúry a letáky)</w:t>
      </w:r>
    </w:p>
    <w:p w:rsidR="001104E0" w:rsidRDefault="001104E0" w:rsidP="001104E0">
      <w:pPr>
        <w:pStyle w:val="Zkladntex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Propagácia:</w:t>
      </w:r>
    </w:p>
    <w:p w:rsidR="001104E0" w:rsidRDefault="001104E0" w:rsidP="001104E0">
      <w:pPr>
        <w:pStyle w:val="Zkladntext"/>
        <w:numPr>
          <w:ilvl w:val="1"/>
          <w:numId w:val="3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prezentácia BBGMP na všetkých podujatiach mimo združenia (šírenie brožúrok, letákov) – Agrokomplex, BBSK, BBVIPA, poslanci BBSK, mesta BB,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ai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1104E0" w:rsidRDefault="001104E0" w:rsidP="001104E0">
      <w:pPr>
        <w:pStyle w:val="Zkladntext"/>
        <w:numPr>
          <w:ilvl w:val="1"/>
          <w:numId w:val="3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prezentácia Banskobystrického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geomontánneho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parku v periodiku PERMON – 2 články</w:t>
      </w:r>
    </w:p>
    <w:p w:rsidR="001104E0" w:rsidRDefault="001104E0" w:rsidP="001104E0">
      <w:pPr>
        <w:pStyle w:val="Zkladntext"/>
        <w:numPr>
          <w:ilvl w:val="1"/>
          <w:numId w:val="3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účasť na študijnej ceste v Estónsku (5 dní) – 3 členovia OZ</w:t>
      </w:r>
    </w:p>
    <w:p w:rsidR="001104E0" w:rsidRPr="002840E9" w:rsidRDefault="001104E0" w:rsidP="001104E0">
      <w:pPr>
        <w:pStyle w:val="Zkladntext"/>
        <w:numPr>
          <w:ilvl w:val="1"/>
          <w:numId w:val="3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web stránka </w:t>
      </w:r>
      <w:hyperlink r:id="rId6" w:history="1">
        <w:r>
          <w:rPr>
            <w:rStyle w:val="Hypertextovprepojenie"/>
            <w:rFonts w:ascii="Arial" w:hAnsi="Arial" w:cs="Arial"/>
            <w:b w:val="0"/>
            <w:bCs w:val="0"/>
            <w:sz w:val="20"/>
            <w:szCs w:val="20"/>
          </w:rPr>
          <w:t>www.geoparkbb.sk</w:t>
        </w:r>
      </w:hyperlink>
    </w:p>
    <w:p w:rsidR="001104E0" w:rsidRDefault="001104E0" w:rsidP="001104E0">
      <w:pPr>
        <w:pStyle w:val="Zkladntext"/>
        <w:rPr>
          <w:rFonts w:ascii="Arial" w:hAnsi="Arial" w:cs="Arial"/>
          <w:sz w:val="20"/>
          <w:szCs w:val="20"/>
          <w:u w:val="single"/>
        </w:rPr>
      </w:pPr>
    </w:p>
    <w:p w:rsidR="001104E0" w:rsidRDefault="001104E0" w:rsidP="001104E0">
      <w:pPr>
        <w:pStyle w:val="Zkladntext"/>
        <w:rPr>
          <w:rFonts w:ascii="Arial" w:hAnsi="Arial" w:cs="Arial"/>
          <w:sz w:val="20"/>
          <w:szCs w:val="20"/>
          <w:u w:val="single"/>
        </w:rPr>
      </w:pPr>
    </w:p>
    <w:p w:rsidR="001104E0" w:rsidRDefault="001104E0" w:rsidP="001104E0">
      <w:pPr>
        <w:pStyle w:val="Zkladntex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Prevádzka kancelárie:</w:t>
      </w:r>
    </w:p>
    <w:p w:rsidR="001104E0" w:rsidRDefault="001104E0" w:rsidP="001104E0">
      <w:pPr>
        <w:pStyle w:val="Zkladntext"/>
        <w:rPr>
          <w:rFonts w:ascii="Arial" w:hAnsi="Arial" w:cs="Arial"/>
          <w:sz w:val="20"/>
          <w:szCs w:val="20"/>
          <w:u w:val="single"/>
        </w:rPr>
      </w:pPr>
    </w:p>
    <w:p w:rsidR="001104E0" w:rsidRDefault="001104E0" w:rsidP="001104E0">
      <w:pPr>
        <w:pStyle w:val="Zkladntext"/>
        <w:numPr>
          <w:ilvl w:val="0"/>
          <w:numId w:val="5"/>
        </w:numPr>
        <w:rPr>
          <w:rFonts w:ascii="Arial" w:hAnsi="Arial" w:cs="Arial"/>
          <w:b w:val="0"/>
          <w:bCs w:val="0"/>
          <w:sz w:val="20"/>
          <w:szCs w:val="20"/>
        </w:rPr>
      </w:pPr>
      <w:r w:rsidRPr="001A1CD3">
        <w:rPr>
          <w:rFonts w:ascii="Arial" w:hAnsi="Arial" w:cs="Arial"/>
          <w:b w:val="0"/>
          <w:bCs w:val="0"/>
          <w:sz w:val="20"/>
          <w:szCs w:val="20"/>
        </w:rPr>
        <w:t>Vyhľadávanie zdrojov financovania činnosti OZ BBGMP a príprava 1</w:t>
      </w:r>
      <w:r>
        <w:rPr>
          <w:rFonts w:ascii="Arial" w:hAnsi="Arial" w:cs="Arial"/>
          <w:b w:val="0"/>
          <w:bCs w:val="0"/>
          <w:sz w:val="20"/>
          <w:szCs w:val="20"/>
        </w:rPr>
        <w:t>1</w:t>
      </w:r>
      <w:r w:rsidRPr="001A1CD3">
        <w:rPr>
          <w:rFonts w:ascii="Arial" w:hAnsi="Arial" w:cs="Arial"/>
          <w:b w:val="0"/>
          <w:bCs w:val="0"/>
          <w:sz w:val="20"/>
          <w:szCs w:val="20"/>
        </w:rPr>
        <w:t xml:space="preserve"> projektov (žiadostí o NFP)</w:t>
      </w:r>
    </w:p>
    <w:p w:rsidR="001104E0" w:rsidRDefault="001104E0" w:rsidP="001104E0">
      <w:pPr>
        <w:pStyle w:val="Zkladntext"/>
        <w:numPr>
          <w:ilvl w:val="0"/>
          <w:numId w:val="5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Propagácia územia v záujme rozvoja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geomontánneho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parku</w:t>
      </w:r>
    </w:p>
    <w:p w:rsidR="001104E0" w:rsidRDefault="001104E0" w:rsidP="001104E0">
      <w:pPr>
        <w:pStyle w:val="Zkladntext"/>
        <w:numPr>
          <w:ilvl w:val="0"/>
          <w:numId w:val="5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Rokovania s predstaviteľmi partnerov (Predseda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BBSK-Maňka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komisa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CR pri BBSK, primátor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Gogola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ai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.) </w:t>
      </w:r>
    </w:p>
    <w:p w:rsidR="001104E0" w:rsidRDefault="001104E0" w:rsidP="001104E0">
      <w:pPr>
        <w:pStyle w:val="Zkladntext"/>
        <w:numPr>
          <w:ilvl w:val="0"/>
          <w:numId w:val="5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Zabezpečovanie členského príspevku</w:t>
      </w:r>
    </w:p>
    <w:p w:rsidR="001104E0" w:rsidRDefault="001104E0" w:rsidP="001104E0">
      <w:pPr>
        <w:pStyle w:val="Zkladntext"/>
        <w:numPr>
          <w:ilvl w:val="0"/>
          <w:numId w:val="5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Evidencia členov, správa databázy</w:t>
      </w:r>
    </w:p>
    <w:p w:rsidR="001104E0" w:rsidRDefault="001104E0" w:rsidP="001104E0">
      <w:pPr>
        <w:pStyle w:val="Zkladntext"/>
        <w:numPr>
          <w:ilvl w:val="0"/>
          <w:numId w:val="5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Evidencia účtovných dokladov a komunikácia s externým účtovníkom</w:t>
      </w:r>
    </w:p>
    <w:p w:rsidR="001104E0" w:rsidRDefault="001104E0" w:rsidP="001104E0">
      <w:pPr>
        <w:pStyle w:val="Zkladntext"/>
        <w:numPr>
          <w:ilvl w:val="0"/>
          <w:numId w:val="5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Administrácia predkladania žiadostí – 9 projektov - zabezpečovanie potvrdení daňového úradu, poisťovní, registre trestov, cca 10 potvrdení ku každému projektu (cca 50 potvrdení/rok), zabezpečovanie cca 45 príloh (mapy, správy, zápisy,)</w:t>
      </w:r>
    </w:p>
    <w:p w:rsidR="001104E0" w:rsidRDefault="001104E0" w:rsidP="001104E0">
      <w:pPr>
        <w:pStyle w:val="Zkladntext"/>
        <w:numPr>
          <w:ilvl w:val="0"/>
          <w:numId w:val="5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Administratíva, správa účtov  a korešpondencia (30 listov)</w:t>
      </w:r>
    </w:p>
    <w:p w:rsidR="001104E0" w:rsidRDefault="001104E0" w:rsidP="001104E0">
      <w:pPr>
        <w:pStyle w:val="Zkladntext"/>
        <w:numPr>
          <w:ilvl w:val="0"/>
          <w:numId w:val="5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Zabezpečovanie podkladov pre kontrolu projektov z roku 2009 (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Poľn.platobná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agentúra,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Enviromentálny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fond)</w:t>
      </w:r>
    </w:p>
    <w:p w:rsidR="001104E0" w:rsidRDefault="001104E0" w:rsidP="001104E0">
      <w:pPr>
        <w:pStyle w:val="Zkladntext"/>
        <w:ind w:left="1080"/>
        <w:rPr>
          <w:rFonts w:ascii="Arial" w:hAnsi="Arial" w:cs="Arial"/>
          <w:b w:val="0"/>
          <w:bCs w:val="0"/>
          <w:sz w:val="20"/>
          <w:szCs w:val="20"/>
        </w:rPr>
      </w:pPr>
    </w:p>
    <w:p w:rsidR="001104E0" w:rsidRDefault="001104E0" w:rsidP="001104E0">
      <w:pPr>
        <w:pStyle w:val="Zkladntext"/>
        <w:ind w:left="1080"/>
        <w:rPr>
          <w:rFonts w:ascii="Arial" w:hAnsi="Arial" w:cs="Arial"/>
          <w:b w:val="0"/>
          <w:bCs w:val="0"/>
          <w:sz w:val="20"/>
          <w:szCs w:val="20"/>
        </w:rPr>
      </w:pPr>
    </w:p>
    <w:p w:rsidR="001104E0" w:rsidRPr="005132B4" w:rsidRDefault="001104E0" w:rsidP="001104E0">
      <w:pPr>
        <w:pStyle w:val="Nadpis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 w:val="0"/>
          <w:bCs w:val="0"/>
          <w:i/>
          <w:sz w:val="16"/>
          <w:szCs w:val="16"/>
        </w:rPr>
        <w:t xml:space="preserve">  </w:t>
      </w:r>
      <w:proofErr w:type="spellStart"/>
      <w:r w:rsidRPr="005132B4">
        <w:rPr>
          <w:rFonts w:ascii="Arial" w:hAnsi="Arial" w:cs="Arial"/>
          <w:b w:val="0"/>
          <w:bCs w:val="0"/>
          <w:i/>
          <w:sz w:val="16"/>
          <w:szCs w:val="16"/>
        </w:rPr>
        <w:t>Spracovala</w:t>
      </w:r>
      <w:proofErr w:type="spellEnd"/>
      <w:r w:rsidRPr="005132B4">
        <w:rPr>
          <w:rFonts w:ascii="Arial" w:hAnsi="Arial" w:cs="Arial"/>
          <w:b w:val="0"/>
          <w:bCs w:val="0"/>
          <w:i/>
          <w:sz w:val="16"/>
          <w:szCs w:val="16"/>
        </w:rPr>
        <w:t xml:space="preserve">: </w:t>
      </w:r>
      <w:proofErr w:type="spellStart"/>
      <w:proofErr w:type="gramStart"/>
      <w:r w:rsidRPr="005132B4">
        <w:rPr>
          <w:rFonts w:ascii="Arial" w:hAnsi="Arial" w:cs="Arial"/>
          <w:b w:val="0"/>
          <w:bCs w:val="0"/>
          <w:i/>
          <w:sz w:val="16"/>
          <w:szCs w:val="16"/>
        </w:rPr>
        <w:t>Ing.arch</w:t>
      </w:r>
      <w:proofErr w:type="spellEnd"/>
      <w:r w:rsidRPr="005132B4">
        <w:rPr>
          <w:rFonts w:ascii="Arial" w:hAnsi="Arial" w:cs="Arial"/>
          <w:b w:val="0"/>
          <w:bCs w:val="0"/>
          <w:i/>
          <w:sz w:val="16"/>
          <w:szCs w:val="16"/>
        </w:rPr>
        <w:t>.</w:t>
      </w:r>
      <w:proofErr w:type="gramEnd"/>
      <w:r w:rsidRPr="005132B4">
        <w:rPr>
          <w:rFonts w:ascii="Arial" w:hAnsi="Arial" w:cs="Arial"/>
          <w:b w:val="0"/>
          <w:bCs w:val="0"/>
          <w:i/>
          <w:sz w:val="16"/>
          <w:szCs w:val="16"/>
        </w:rPr>
        <w:t xml:space="preserve"> Iveta </w:t>
      </w:r>
      <w:proofErr w:type="spellStart"/>
      <w:r w:rsidRPr="005132B4">
        <w:rPr>
          <w:rFonts w:ascii="Arial" w:hAnsi="Arial" w:cs="Arial"/>
          <w:b w:val="0"/>
          <w:bCs w:val="0"/>
          <w:i/>
          <w:sz w:val="16"/>
          <w:szCs w:val="16"/>
        </w:rPr>
        <w:t>Kavčáková</w:t>
      </w:r>
      <w:proofErr w:type="spellEnd"/>
      <w:r w:rsidRPr="005132B4">
        <w:rPr>
          <w:rFonts w:ascii="Arial" w:hAnsi="Arial" w:cs="Arial"/>
          <w:b w:val="0"/>
          <w:bCs w:val="0"/>
          <w:i/>
          <w:sz w:val="16"/>
          <w:szCs w:val="16"/>
        </w:rPr>
        <w:t xml:space="preserve"> – </w:t>
      </w:r>
      <w:proofErr w:type="spellStart"/>
      <w:r w:rsidRPr="005132B4">
        <w:rPr>
          <w:rFonts w:ascii="Arial" w:hAnsi="Arial" w:cs="Arial"/>
          <w:b w:val="0"/>
          <w:bCs w:val="0"/>
          <w:i/>
          <w:sz w:val="16"/>
          <w:szCs w:val="16"/>
        </w:rPr>
        <w:t>riaditeľka</w:t>
      </w:r>
      <w:proofErr w:type="spellEnd"/>
      <w:r w:rsidRPr="005132B4">
        <w:rPr>
          <w:rFonts w:ascii="Arial" w:hAnsi="Arial" w:cs="Arial"/>
          <w:b w:val="0"/>
          <w:bCs w:val="0"/>
          <w:i/>
          <w:sz w:val="16"/>
          <w:szCs w:val="16"/>
        </w:rPr>
        <w:t xml:space="preserve"> OZ</w:t>
      </w:r>
      <w:r>
        <w:rPr>
          <w:rFonts w:ascii="Arial" w:hAnsi="Arial" w:cs="Arial"/>
          <w:b w:val="0"/>
          <w:bCs w:val="0"/>
          <w:i/>
          <w:sz w:val="16"/>
          <w:szCs w:val="16"/>
        </w:rPr>
        <w:t xml:space="preserve">                                                                             V </w:t>
      </w:r>
      <w:proofErr w:type="spellStart"/>
      <w:r>
        <w:rPr>
          <w:rFonts w:ascii="Arial" w:hAnsi="Arial" w:cs="Arial"/>
          <w:b w:val="0"/>
          <w:bCs w:val="0"/>
          <w:i/>
          <w:sz w:val="16"/>
          <w:szCs w:val="16"/>
        </w:rPr>
        <w:t>Banskej</w:t>
      </w:r>
      <w:proofErr w:type="spellEnd"/>
      <w:r>
        <w:rPr>
          <w:rFonts w:ascii="Arial" w:hAnsi="Arial" w:cs="Arial"/>
          <w:b w:val="0"/>
          <w:bCs w:val="0"/>
          <w:i/>
          <w:sz w:val="16"/>
          <w:szCs w:val="16"/>
        </w:rPr>
        <w:t xml:space="preserve"> Bystrici apríl 2011      </w:t>
      </w:r>
    </w:p>
    <w:p w:rsidR="001104E0" w:rsidRPr="005132B4" w:rsidRDefault="001104E0" w:rsidP="001104E0">
      <w:pPr>
        <w:pStyle w:val="Zkladntext"/>
        <w:rPr>
          <w:rFonts w:ascii="Arial" w:hAnsi="Arial" w:cs="Arial"/>
          <w:b w:val="0"/>
          <w:bCs w:val="0"/>
          <w:i/>
          <w:sz w:val="16"/>
          <w:szCs w:val="16"/>
        </w:rPr>
      </w:pPr>
    </w:p>
    <w:p w:rsidR="004B43ED" w:rsidRDefault="004B43ED"/>
    <w:sectPr w:rsidR="004B43ED" w:rsidSect="00B67466">
      <w:footerReference w:type="default" r:id="rId7"/>
      <w:pgSz w:w="11907" w:h="16840" w:code="9"/>
      <w:pgMar w:top="1134" w:right="1134" w:bottom="1134" w:left="1361" w:header="709" w:footer="708" w:gutter="0"/>
      <w:pgNumType w:chapStyle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E9" w:rsidRDefault="002D66FE">
    <w:pPr>
      <w:jc w:val="right"/>
      <w:rPr>
        <w:i/>
        <w:iCs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1104E0">
      <w:rPr>
        <w:rStyle w:val="slostrany"/>
        <w:noProof/>
      </w:rPr>
      <w:t>4</w:t>
    </w:r>
    <w:r>
      <w:rPr>
        <w:rStyle w:val="slostrany"/>
      </w:rPr>
      <w:fldChar w:fldCharType="end"/>
    </w:r>
  </w:p>
  <w:p w:rsidR="002840E9" w:rsidRDefault="002D66FE">
    <w:pPr>
      <w:pStyle w:val="Pta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4044"/>
    <w:multiLevelType w:val="hybridMultilevel"/>
    <w:tmpl w:val="88D86CC6"/>
    <w:lvl w:ilvl="0" w:tplc="F500BF9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">
    <w:nsid w:val="3C6E0C5C"/>
    <w:multiLevelType w:val="hybridMultilevel"/>
    <w:tmpl w:val="CCBA9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F0D1661"/>
    <w:multiLevelType w:val="singleLevel"/>
    <w:tmpl w:val="7D3CD12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3">
    <w:nsid w:val="3FDB7B1A"/>
    <w:multiLevelType w:val="hybridMultilevel"/>
    <w:tmpl w:val="870C57C6"/>
    <w:lvl w:ilvl="0" w:tplc="AD5E88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40BD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9C13C18"/>
    <w:multiLevelType w:val="hybridMultilevel"/>
    <w:tmpl w:val="D822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421707"/>
    <w:multiLevelType w:val="hybridMultilevel"/>
    <w:tmpl w:val="5DFABB2E"/>
    <w:lvl w:ilvl="0" w:tplc="51A0F92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104E0"/>
    <w:rsid w:val="001104E0"/>
    <w:rsid w:val="002D66FE"/>
    <w:rsid w:val="004B43ED"/>
    <w:rsid w:val="0054651F"/>
    <w:rsid w:val="009158DC"/>
    <w:rsid w:val="00995D9B"/>
    <w:rsid w:val="00B868A3"/>
    <w:rsid w:val="00F0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4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104E0"/>
    <w:pPr>
      <w:keepNext/>
      <w:outlineLvl w:val="0"/>
    </w:pPr>
    <w:rPr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104E0"/>
    <w:pPr>
      <w:keepNext/>
      <w:outlineLvl w:val="2"/>
    </w:pPr>
    <w:rPr>
      <w:b/>
      <w:bCs/>
      <w:sz w:val="32"/>
      <w:szCs w:val="32"/>
      <w:lang w:val="cs-CZ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1104E0"/>
    <w:pPr>
      <w:keepNext/>
      <w:ind w:left="360"/>
      <w:outlineLvl w:val="4"/>
    </w:pPr>
    <w:rPr>
      <w:rFonts w:ascii="Arial" w:hAnsi="Arial" w:cs="Arial"/>
      <w:b/>
      <w:b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1104E0"/>
    <w:pPr>
      <w:keepNext/>
      <w:outlineLvl w:val="8"/>
    </w:pPr>
    <w:rPr>
      <w:rFonts w:ascii="Arial" w:hAnsi="Arial" w:cs="Arial"/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104E0"/>
    <w:rPr>
      <w:rFonts w:ascii="Times New Roman" w:eastAsiaTheme="minorEastAsia" w:hAnsi="Times New Roman" w:cs="Times New Roman"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1104E0"/>
    <w:rPr>
      <w:rFonts w:ascii="Times New Roman" w:eastAsiaTheme="minorEastAsia" w:hAnsi="Times New Roman" w:cs="Times New Roman"/>
      <w:b/>
      <w:bCs/>
      <w:sz w:val="32"/>
      <w:szCs w:val="32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1104E0"/>
    <w:rPr>
      <w:rFonts w:ascii="Arial" w:eastAsiaTheme="minorEastAsia" w:hAnsi="Arial" w:cs="Arial"/>
      <w:b/>
      <w:b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1104E0"/>
    <w:rPr>
      <w:rFonts w:ascii="Arial" w:eastAsiaTheme="minorEastAsia" w:hAnsi="Arial" w:cs="Arial"/>
      <w:b/>
      <w:bCs/>
      <w:sz w:val="20"/>
      <w:szCs w:val="20"/>
      <w:u w:val="single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rsid w:val="00110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104E0"/>
    <w:rPr>
      <w:rFonts w:ascii="Courier New" w:eastAsiaTheme="minorEastAsia" w:hAnsi="Courier New" w:cs="Courier New"/>
      <w:sz w:val="20"/>
      <w:szCs w:val="20"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1104E0"/>
    <w:pPr>
      <w:jc w:val="center"/>
    </w:pPr>
    <w:rPr>
      <w:b/>
      <w:bCs/>
      <w:caps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1104E0"/>
    <w:rPr>
      <w:rFonts w:ascii="Times New Roman" w:eastAsiaTheme="minorEastAsia" w:hAnsi="Times New Roman" w:cs="Times New Roman"/>
      <w:b/>
      <w:bCs/>
      <w:caps/>
      <w:sz w:val="32"/>
      <w:szCs w:val="32"/>
      <w:lang w:eastAsia="cs-CZ"/>
    </w:rPr>
  </w:style>
  <w:style w:type="paragraph" w:styleId="Pta">
    <w:name w:val="footer"/>
    <w:basedOn w:val="Normlny"/>
    <w:link w:val="PtaChar"/>
    <w:uiPriority w:val="99"/>
    <w:rsid w:val="001104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04E0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104E0"/>
    <w:pPr>
      <w:jc w:val="both"/>
    </w:pPr>
    <w:rPr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104E0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1104E0"/>
    <w:rPr>
      <w:rFonts w:ascii="Times New Roman" w:hAnsi="Times New Roman" w:cs="Times New Roman"/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rsid w:val="001104E0"/>
    <w:pPr>
      <w:ind w:firstLine="708"/>
      <w:jc w:val="both"/>
    </w:pPr>
    <w:rPr>
      <w:rFonts w:ascii="Verdana" w:hAnsi="Verdana" w:cs="Verdana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104E0"/>
    <w:rPr>
      <w:rFonts w:ascii="Verdana" w:eastAsiaTheme="minorEastAsia" w:hAnsi="Verdana" w:cs="Verdana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1104E0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04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4E0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parkbb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1791</Words>
  <Characters>10213</Characters>
  <Application>Microsoft Office Word</Application>
  <DocSecurity>0</DocSecurity>
  <Lines>85</Lines>
  <Paragraphs>23</Paragraphs>
  <ScaleCrop>false</ScaleCrop>
  <Company/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2011-08-12T13:53:00Z</dcterms:created>
  <dcterms:modified xsi:type="dcterms:W3CDTF">2011-08-12T13:53:00Z</dcterms:modified>
</cp:coreProperties>
</file>